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 xmlns:wp14="http://schemas.microsoft.com/office/word/2010/wordml" w:rsidP="760E09A5" w14:paraId="0B1D9F10" wp14:textId="427A4DA4">
      <w:pPr>
        <w:pStyle w:val="Normal"/>
        <w:rPr>
          <w:b w:val="1"/>
          <w:bCs w:val="1"/>
          <w:i w:val="1"/>
          <w:iCs w:val="1"/>
          <w:sz w:val="28"/>
          <w:szCs w:val="28"/>
        </w:rPr>
      </w:pPr>
      <w:r w:rsidRPr="760E09A5" w:rsidR="760E09A5">
        <w:rPr>
          <w:b w:val="1"/>
          <w:bCs w:val="1"/>
          <w:i w:val="1"/>
          <w:iCs w:val="1"/>
          <w:sz w:val="28"/>
          <w:szCs w:val="28"/>
        </w:rPr>
        <w:t xml:space="preserve">      </w:t>
      </w:r>
      <w:r w:rsidRPr="760E09A5" w:rsidR="760E09A5">
        <w:rPr>
          <w:b w:val="1"/>
          <w:bCs w:val="1"/>
          <w:i w:val="1"/>
          <w:iCs w:val="1"/>
          <w:sz w:val="28"/>
          <w:szCs w:val="28"/>
        </w:rPr>
        <w:t>Перечень учреждений, подлежащих муниципальному внутреннему финансовому контролю</w:t>
      </w:r>
    </w:p>
    <w:p xmlns:wp14="http://schemas.microsoft.com/office/word/2010/wordml" w14:paraId="6D98A12B" wp14:textId="77777777">
      <w:pPr>
        <w:pStyle w:val="Normal"/>
        <w:jc w:val="center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</w:r>
    </w:p>
    <w:tbl>
      <w:tblPr>
        <w:tblW w:w="9236" w:type="dxa"/>
        <w:jc w:val="left"/>
        <w:tblInd w:w="-17" w:type="dxa"/>
        <w:tblBorders>
          <w:top w:val="single" w:color="000000" w:sz="4" w:space="0"/>
          <w:left w:val="single" w:color="000000" w:sz="4" w:space="0"/>
          <w:bottom w:val="single" w:color="000000" w:sz="4" w:space="0"/>
          <w:insideH w:val="single" w:color="000000" w:sz="4" w:space="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960"/>
        <w:gridCol w:w="8276"/>
      </w:tblGrid>
      <w:tr xmlns:wp14="http://schemas.microsoft.com/office/word/2010/wordml" w14:paraId="7DD3B59E" wp14:textId="77777777">
        <w:trPr>
          <w:trHeight w:val="288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0F9F350F" wp14:textId="77777777">
            <w:pPr>
              <w:pStyle w:val="Normal"/>
              <w:jc w:val="center"/>
              <w:rPr>
                <w:rFonts w:ascii="Calibri;Century Gothic" w:hAnsi="Calibri;Century Gothic" w:cs="Calibri;Century Gothic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b/>
                <w:bCs/>
                <w:color w:val="000000"/>
                <w:sz w:val="22"/>
                <w:szCs w:val="22"/>
              </w:rPr>
              <w:t>№</w:t>
            </w:r>
            <w:r>
              <w:rPr>
                <w:rFonts w:ascii="Calibri;Century Gothic" w:hAnsi="Calibri;Century Gothic" w:eastAsia="Calibri;Century Gothic" w:cs="Calibri;Century Gothic"/>
                <w:b/>
                <w:bCs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Calibri;Century Gothic" w:hAnsi="Calibri;Century Gothic" w:cs="Calibri;Century Gothic"/>
                <w:b/>
                <w:bCs/>
                <w:color w:val="000000"/>
                <w:sz w:val="22"/>
                <w:szCs w:val="22"/>
              </w:rPr>
              <w:t>п/п</w:t>
            </w:r>
          </w:p>
        </w:tc>
        <w:tc>
          <w:tcPr>
            <w:tcW w:w="8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30E1F351" wp14:textId="77777777">
            <w:pPr>
              <w:pStyle w:val="Normal"/>
              <w:jc w:val="center"/>
              <w:rPr>
                <w:rFonts w:ascii="Calibri;Century Gothic" w:hAnsi="Calibri;Century Gothic" w:cs="Calibri;Century Gothic"/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b/>
                <w:bCs/>
                <w:color w:val="000000"/>
                <w:sz w:val="22"/>
                <w:szCs w:val="22"/>
              </w:rPr>
              <w:t>Полное наименование учреждения</w:t>
            </w:r>
          </w:p>
        </w:tc>
      </w:tr>
      <w:tr xmlns:wp14="http://schemas.microsoft.com/office/word/2010/wordml" w14:paraId="13AE2285" wp14:textId="77777777">
        <w:trPr>
          <w:trHeight w:val="288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649841BE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04DCC95B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Администрация Малышевского городского округа</w:t>
            </w:r>
          </w:p>
        </w:tc>
      </w:tr>
      <w:tr xmlns:wp14="http://schemas.microsoft.com/office/word/2010/wordml" w14:paraId="77BB9858" wp14:textId="77777777">
        <w:trPr>
          <w:trHeight w:val="264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18F999B5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3887ED3C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Отдел образования администрации Малышевского городского округа</w:t>
            </w:r>
          </w:p>
        </w:tc>
      </w:tr>
      <w:tr xmlns:wp14="http://schemas.microsoft.com/office/word/2010/wordml" w14:paraId="323771A3" wp14:textId="77777777">
        <w:trPr>
          <w:trHeight w:val="576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5FCD5EC4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3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4C64A63E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Отдел по культуре, молодежной политике и спорту администрации Малышевского городского округа</w:t>
            </w:r>
          </w:p>
        </w:tc>
      </w:tr>
      <w:tr xmlns:wp14="http://schemas.microsoft.com/office/word/2010/wordml" w14:paraId="21977795" wp14:textId="77777777">
        <w:trPr>
          <w:trHeight w:val="288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2598DEE6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4AA62765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Дума Малышевского городского округа</w:t>
            </w:r>
          </w:p>
        </w:tc>
      </w:tr>
      <w:tr xmlns:wp14="http://schemas.microsoft.com/office/word/2010/wordml" w14:paraId="0D79EFED" wp14:textId="77777777">
        <w:trPr>
          <w:trHeight w:val="288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78941E47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5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64DDD393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Финансовый отдел администрации Малышевского городского округа</w:t>
            </w:r>
          </w:p>
        </w:tc>
      </w:tr>
      <w:tr xmlns:wp14="http://schemas.microsoft.com/office/word/2010/wordml" w14:paraId="05BD0B05" wp14:textId="77777777">
        <w:trPr>
          <w:trHeight w:val="576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29B4EA11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6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6F328D3D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Отдел по управлению имуществом администрации Малышевского городского округа</w:t>
            </w:r>
          </w:p>
        </w:tc>
      </w:tr>
      <w:tr xmlns:wp14="http://schemas.microsoft.com/office/word/2010/wordml" w14:paraId="5CA172F8" wp14:textId="77777777">
        <w:trPr>
          <w:trHeight w:val="576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75697EEC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7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12A0D1B1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Муниципальное казенное учреждение "Единая дежурно-диспетчерская служба" Малышевского городского округа</w:t>
            </w:r>
          </w:p>
        </w:tc>
      </w:tr>
      <w:tr xmlns:wp14="http://schemas.microsoft.com/office/word/2010/wordml" w14:paraId="289A1135" wp14:textId="77777777">
        <w:trPr>
          <w:trHeight w:val="576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44B0A208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8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14E3CCF7" wp14:textId="77777777">
            <w:pPr>
              <w:pStyle w:val="Normal"/>
              <w:rPr/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Муниципальное казенное учреждение Малышевского городского округа "Административно-хозяйственная служба"</w:t>
            </w:r>
          </w:p>
        </w:tc>
      </w:tr>
      <w:tr xmlns:wp14="http://schemas.microsoft.com/office/word/2010/wordml" w14:paraId="1DC0F7EE" wp14:textId="77777777">
        <w:trPr>
          <w:trHeight w:val="557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2B2B7304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9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4C92A705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Муниципальное автономное общеобразовательное учреждение начальная общеобразовательная школа -детский сад № 42 Малышевского городского округа</w:t>
            </w:r>
          </w:p>
        </w:tc>
      </w:tr>
      <w:tr xmlns:wp14="http://schemas.microsoft.com/office/word/2010/wordml" w14:paraId="6CC59CB5" wp14:textId="77777777">
        <w:trPr>
          <w:trHeight w:val="600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5D369756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48AE9D53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Муниципальное автономное общеобразовательное учреждение средняя общеобразовательная школа № 3 Малышевского городского округа</w:t>
            </w:r>
          </w:p>
        </w:tc>
      </w:tr>
      <w:tr xmlns:wp14="http://schemas.microsoft.com/office/word/2010/wordml" w14:paraId="6007E5CD" wp14:textId="77777777">
        <w:trPr>
          <w:trHeight w:val="540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4737E36C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11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2A47FB76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Муниципальное автономное общеобразовательное учреждение средняя общеобразовательная школа № 19 Малышевского городского округа</w:t>
            </w:r>
          </w:p>
        </w:tc>
      </w:tr>
      <w:tr xmlns:wp14="http://schemas.microsoft.com/office/word/2010/wordml" w14:paraId="14E45E36" wp14:textId="77777777">
        <w:trPr>
          <w:trHeight w:val="667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4B73E586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12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1D2C17BB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Муниципальное автономное дошкольное образовательное учреждение детский сад комбинированного вида № 48 "Чайка" Малышевского городского округа</w:t>
            </w:r>
          </w:p>
        </w:tc>
      </w:tr>
      <w:tr xmlns:wp14="http://schemas.microsoft.com/office/word/2010/wordml" w14:paraId="77A764A6" wp14:textId="77777777">
        <w:trPr>
          <w:trHeight w:val="612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39F18D26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13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6A4B3DF3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Муниципальное автономное дошкольное образовательное учреждение "Детский сад № 49 "Чебурашка" Малышевского городского округа</w:t>
            </w:r>
          </w:p>
        </w:tc>
      </w:tr>
      <w:tr xmlns:wp14="http://schemas.microsoft.com/office/word/2010/wordml" w14:paraId="5D5B2AB8" wp14:textId="77777777">
        <w:trPr>
          <w:trHeight w:val="501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4E1E336A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14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41DD430B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 xml:space="preserve">Муниципальное автономное дошкольное образовательное учреждение детский сад комбинированного вида № 51 "Родничок" Малышевского городского округа </w:t>
            </w:r>
          </w:p>
        </w:tc>
      </w:tr>
      <w:tr xmlns:wp14="http://schemas.microsoft.com/office/word/2010/wordml" w14:paraId="71AB4297" wp14:textId="77777777">
        <w:trPr>
          <w:trHeight w:val="540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33CFEC6B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15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6824E5D0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Муниципальное автономное учреждение дополнительного образования Дом детского творчества Малышевского городского округа</w:t>
            </w:r>
          </w:p>
        </w:tc>
      </w:tr>
      <w:tr xmlns:wp14="http://schemas.microsoft.com/office/word/2010/wordml" w14:paraId="553FD7E9" wp14:textId="77777777">
        <w:trPr>
          <w:trHeight w:val="588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0EB5E791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16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6893972F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Муниципальное автономное учреждение физической культуры и спорта Малышевский дворец спорта "Рубин"</w:t>
            </w:r>
          </w:p>
        </w:tc>
      </w:tr>
      <w:tr xmlns:wp14="http://schemas.microsoft.com/office/word/2010/wordml" w14:paraId="7AE322E9" wp14:textId="77777777">
        <w:trPr>
          <w:trHeight w:val="528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111B77A1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17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217EC5CF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Муниципальное бюджетное учреждение дополнительного образования "Малышевская детская школа искусств"</w:t>
            </w:r>
          </w:p>
        </w:tc>
      </w:tr>
      <w:tr xmlns:wp14="http://schemas.microsoft.com/office/word/2010/wordml" w14:paraId="35B4E7C4" wp14:textId="77777777">
        <w:trPr>
          <w:trHeight w:val="576" w:hRule="atLeast"/>
        </w:trPr>
        <w:tc>
          <w:tcPr>
            <w:tcW w:w="960" w:type="dxa"/>
            <w:tcBorders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526D80A2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18</w:t>
            </w:r>
          </w:p>
        </w:tc>
        <w:tc>
          <w:tcPr>
            <w:tcW w:w="8276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3F7815B3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Муниципальное бюджетное учреждение культуры Малышевский Дворец культуры "Русь"</w:t>
            </w:r>
          </w:p>
        </w:tc>
      </w:tr>
      <w:tr xmlns:wp14="http://schemas.microsoft.com/office/word/2010/wordml" w14:paraId="401E3F2C" wp14:textId="77777777">
        <w:trPr>
          <w:trHeight w:val="576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2847A633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19</w:t>
            </w:r>
          </w:p>
        </w:tc>
        <w:tc>
          <w:tcPr>
            <w:tcW w:w="8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41FC17C1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Муниципальное бюджетное учреждение культуры Библиотека Малышевского городского округа</w:t>
            </w:r>
          </w:p>
        </w:tc>
      </w:tr>
      <w:tr xmlns:wp14="http://schemas.microsoft.com/office/word/2010/wordml" w14:paraId="2F71C10B" wp14:textId="77777777">
        <w:trPr>
          <w:trHeight w:val="576" w:hRule="atLeast"/>
        </w:trPr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insideH w:val="single" w:color="000000" w:sz="4" w:space="0"/>
            </w:tcBorders>
            <w:shd w:val="clear" w:fill="auto"/>
            <w:vAlign w:val="bottom"/>
          </w:tcPr>
          <w:p w14:paraId="5007C906" wp14:textId="77777777">
            <w:pPr>
              <w:pStyle w:val="Normal"/>
              <w:jc w:val="right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20</w:t>
            </w:r>
          </w:p>
        </w:tc>
        <w:tc>
          <w:tcPr>
            <w:tcW w:w="8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  <w:insideH w:val="single" w:color="000000" w:sz="4" w:space="0"/>
              <w:insideV w:val="single" w:color="000000" w:sz="4" w:space="0"/>
            </w:tcBorders>
            <w:shd w:val="clear" w:fill="auto"/>
            <w:vAlign w:val="bottom"/>
          </w:tcPr>
          <w:p w14:paraId="722282D7" wp14:textId="77777777">
            <w:pPr>
              <w:pStyle w:val="Normal"/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</w:pPr>
            <w:r>
              <w:rPr>
                <w:rFonts w:ascii="Calibri;Century Gothic" w:hAnsi="Calibri;Century Gothic" w:cs="Calibri;Century Gothic"/>
                <w:color w:val="000000"/>
                <w:sz w:val="22"/>
                <w:szCs w:val="22"/>
              </w:rPr>
              <w:t>Юридические лица (кроме муниципальных учреждений), индивидуальные предприниматели, которые являются получателями субсидий из местного бюджета</w:t>
            </w:r>
          </w:p>
        </w:tc>
      </w:tr>
    </w:tbl>
    <w:p xmlns:wp14="http://schemas.microsoft.com/office/word/2010/wordml" w14:paraId="2946DB82" wp14:textId="77777777">
      <w:pPr>
        <w:pStyle w:val="Normal"/>
        <w:jc w:val="center"/>
        <w:rPr>
          <w:b/>
          <w:b/>
          <w:i/>
          <w:i/>
          <w:sz w:val="28"/>
          <w:szCs w:val="28"/>
        </w:rPr>
      </w:pPr>
      <w:r>
        <w:rPr>
          <w:b/>
          <w:i/>
          <w:sz w:val="28"/>
          <w:szCs w:val="28"/>
        </w:rPr>
      </w:r>
    </w:p>
    <w:sectPr>
      <w:type w:val="continuous"/>
      <w:pgSz w:w="11906" w:h="16838" w:orient="portrait"/>
      <w:pgMar w:top="1134" w:right="851" w:bottom="567" w:left="1418" w:header="0" w:footer="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Wingdings">
    <w:charset w:val="02"/>
    <w:family w:val="auto"/>
    <w:pitch w:val="variable"/>
  </w:font>
  <w:font w:name="Courier New">
    <w:charset w:val="cc"/>
    <w:family w:val="modern"/>
    <w:pitch w:val="default"/>
  </w:font>
  <w:font w:name="Tahoma">
    <w:charset w:val="cc"/>
    <w:family w:val="swiss"/>
    <w:pitch w:val="variable"/>
  </w:font>
  <w:font w:name="Calibri">
    <w:altName w:val="Century Gothic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14="http://schemas.microsoft.com/office/word/2010/wordml" xmlns:wp14="http://schemas.microsoft.com/office/word/2010/wordprocessingDrawing" xmlns:w="http://schemas.openxmlformats.org/wordprocessingml/2006/main" xmlns:mc="http://schemas.openxmlformats.org/markup-compatibility/2006" xmlns:w15="http://schemas.microsoft.com/office/word/2012/wordml" mc:Ignorable="w14 wp14 w15">
  <w:zoom w:percent="100"/>
  <w:defaultTabStop w:val="720"/>
  <w14:docId w14:val="3434147E"/>
  <w15:docId w15:val="{2013cd3d-b90a-4ba8-ad5f-f5e9bb1f2126}"/>
  <w:rsids>
    <w:rsidRoot w:val="760E09A5"/>
    <w:rsid w:val="760E09A5"/>
  </w:rsids>
</w:settings>
</file>

<file path=word/styles.xml><?xml version="1.0" encoding="utf-8"?>
<w:styles xmlns:wp14="http://schemas.microsoft.com/office/word/2010/wordprocessingDrawing" xmlns:w="http://schemas.openxmlformats.org/wordprocessingml/2006/main" xmlns:w14="http://schemas.microsoft.com/office/word/2010/wordml" xmlns:mc="http://schemas.openxmlformats.org/markup-compatibility/2006" mc:Ignorable="w14 wp14">
  <w:docDefaults>
    <w:rPrDefault>
      <w:rPr>
        <w:rFonts w:ascii="Times New Roman" w:hAnsi="Times New Roman" w:eastAsia="DejaVu Sans" w:cs="DejaVu 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</w:pPr>
    <w:rPr>
      <w:rFonts w:ascii="Times New Roman" w:hAnsi="Times New Roman" w:eastAsia="Times New Roman" w:cs="Times New Roman"/>
      <w:color w:val="auto"/>
      <w:sz w:val="24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widowControl w:val="false"/>
      <w:numPr>
        <w:ilvl w:val="0"/>
        <w:numId w:val="1"/>
      </w:numPr>
      <w:autoSpaceDE w:val="false"/>
      <w:jc w:val="both"/>
      <w:outlineLvl w:val="0"/>
    </w:pPr>
    <w:rPr>
      <w:b/>
      <w:i/>
      <w:sz w:val="28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color w:val="000000"/>
      <w:sz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Wingdings" w:hAnsi="Wingdings" w:cs="Wingdings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>
      <w:rFonts w:ascii="Wingdings" w:hAnsi="Wingdings" w:cs="Wingdings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3">
    <w:name w:val="WW8Num4z3"/>
    <w:qFormat/>
    <w:rPr>
      <w:rFonts w:ascii="Symbol" w:hAnsi="Symbol" w:cs="Symbol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5z1">
    <w:name w:val="WW8Num5z1"/>
    <w:qFormat/>
    <w:rPr/>
  </w:style>
  <w:style w:type="character" w:styleId="WW8Num5z2">
    <w:name w:val="WW8Num5z2"/>
    <w:qFormat/>
    <w:rPr/>
  </w:style>
  <w:style w:type="character" w:styleId="WW8Num5z3">
    <w:name w:val="WW8Num5z3"/>
    <w:qFormat/>
    <w:rPr/>
  </w:style>
  <w:style w:type="character" w:styleId="WW8Num5z4">
    <w:name w:val="WW8Num5z4"/>
    <w:qFormat/>
    <w:rPr/>
  </w:style>
  <w:style w:type="character" w:styleId="WW8Num5z5">
    <w:name w:val="WW8Num5z5"/>
    <w:qFormat/>
    <w:rPr/>
  </w:style>
  <w:style w:type="character" w:styleId="WW8Num5z6">
    <w:name w:val="WW8Num5z6"/>
    <w:qFormat/>
    <w:rPr/>
  </w:style>
  <w:style w:type="character" w:styleId="WW8Num5z7">
    <w:name w:val="WW8Num5z7"/>
    <w:qFormat/>
    <w:rPr/>
  </w:style>
  <w:style w:type="character" w:styleId="WW8Num5z8">
    <w:name w:val="WW8Num5z8"/>
    <w:qFormat/>
    <w:rPr/>
  </w:style>
  <w:style w:type="character" w:styleId="WW8Num6z0">
    <w:name w:val="WW8Num6z0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0">
    <w:name w:val="WW8Num8z0"/>
    <w:qFormat/>
    <w:rPr>
      <w:rFonts w:ascii="Wingdings" w:hAnsi="Wingdings" w:cs="Wingdings"/>
    </w:rPr>
  </w:style>
  <w:style w:type="character" w:styleId="WW8Num8z1">
    <w:name w:val="WW8Num8z1"/>
    <w:qFormat/>
    <w:rPr>
      <w:rFonts w:ascii="Courier New" w:hAnsi="Courier New" w:cs="Courier New"/>
    </w:rPr>
  </w:style>
  <w:style w:type="character" w:styleId="WW8Num8z3">
    <w:name w:val="WW8Num8z3"/>
    <w:qFormat/>
    <w:rPr>
      <w:rFonts w:ascii="Symbol" w:hAnsi="Symbol" w:cs="Symbol"/>
    </w:rPr>
  </w:style>
  <w:style w:type="character" w:styleId="WW8Num9z0">
    <w:name w:val="WW8Num9z0"/>
    <w:qFormat/>
    <w:rPr>
      <w:rFonts w:ascii="Symbol" w:hAnsi="Symbol" w:cs="Symbo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10z0">
    <w:name w:val="WW8Num10z0"/>
    <w:qFormat/>
    <w:rPr>
      <w:rFonts w:ascii="Wingdings" w:hAnsi="Wingdings" w:cs="Wingdings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3">
    <w:name w:val="WW8Num10z3"/>
    <w:qFormat/>
    <w:rPr>
      <w:rFonts w:ascii="Symbol" w:hAnsi="Symbol" w:cs="Symbol"/>
    </w:rPr>
  </w:style>
  <w:style w:type="character" w:styleId="WW8Num11z0">
    <w:name w:val="WW8Num11z0"/>
    <w:qFormat/>
    <w:rPr/>
  </w:style>
  <w:style w:type="character" w:styleId="WW8Num11z1">
    <w:name w:val="WW8Num11z1"/>
    <w:qFormat/>
    <w:rPr/>
  </w:style>
  <w:style w:type="character" w:styleId="WW8Num11z2">
    <w:name w:val="WW8Num11z2"/>
    <w:qFormat/>
    <w:rPr/>
  </w:style>
  <w:style w:type="character" w:styleId="WW8Num11z3">
    <w:name w:val="WW8Num11z3"/>
    <w:qFormat/>
    <w:rPr/>
  </w:style>
  <w:style w:type="character" w:styleId="WW8Num11z4">
    <w:name w:val="WW8Num11z4"/>
    <w:qFormat/>
    <w:rPr/>
  </w:style>
  <w:style w:type="character" w:styleId="WW8Num11z5">
    <w:name w:val="WW8Num11z5"/>
    <w:qFormat/>
    <w:rPr/>
  </w:style>
  <w:style w:type="character" w:styleId="WW8Num11z6">
    <w:name w:val="WW8Num11z6"/>
    <w:qFormat/>
    <w:rPr/>
  </w:style>
  <w:style w:type="character" w:styleId="WW8Num11z7">
    <w:name w:val="WW8Num11z7"/>
    <w:qFormat/>
    <w:rPr/>
  </w:style>
  <w:style w:type="character" w:styleId="WW8Num11z8">
    <w:name w:val="WW8Num11z8"/>
    <w:qFormat/>
    <w:rPr/>
  </w:style>
  <w:style w:type="character" w:styleId="WW8Num12z0">
    <w:name w:val="WW8Num12z0"/>
    <w:qFormat/>
    <w:rPr>
      <w:rFonts w:ascii="Symbol" w:hAnsi="Symbol" w:cs="Symbol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3z0">
    <w:name w:val="WW8Num13z0"/>
    <w:qFormat/>
    <w:rPr>
      <w:rFonts w:ascii="Symbol" w:hAnsi="Symbol" w:cs="Symbol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4z0">
    <w:name w:val="WW8Num14z0"/>
    <w:qFormat/>
    <w:rPr/>
  </w:style>
  <w:style w:type="character" w:styleId="WW8Num15z0">
    <w:name w:val="WW8Num15z0"/>
    <w:qFormat/>
    <w:rPr>
      <w:rFonts w:ascii="Symbol" w:hAnsi="Symbol" w:cs="Symbo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6z0">
    <w:name w:val="WW8Num16z0"/>
    <w:qFormat/>
    <w:rPr/>
  </w:style>
  <w:style w:type="character" w:styleId="WW8Num17z0">
    <w:name w:val="WW8Num17z0"/>
    <w:qFormat/>
    <w:rPr>
      <w:rFonts w:ascii="Symbol" w:hAnsi="Symbol" w:cs="Symbol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8z0">
    <w:name w:val="WW8Num18z0"/>
    <w:qFormat/>
    <w:rPr/>
  </w:style>
  <w:style w:type="character" w:styleId="WW8Num18z1">
    <w:name w:val="WW8Num18z1"/>
    <w:qFormat/>
    <w:rPr/>
  </w:style>
  <w:style w:type="character" w:styleId="WW8Num18z2">
    <w:name w:val="WW8Num18z2"/>
    <w:qFormat/>
    <w:rPr/>
  </w:style>
  <w:style w:type="character" w:styleId="WW8Num18z3">
    <w:name w:val="WW8Num18z3"/>
    <w:qFormat/>
    <w:rPr/>
  </w:style>
  <w:style w:type="character" w:styleId="WW8Num18z4">
    <w:name w:val="WW8Num18z4"/>
    <w:qFormat/>
    <w:rPr/>
  </w:style>
  <w:style w:type="character" w:styleId="WW8Num18z5">
    <w:name w:val="WW8Num18z5"/>
    <w:qFormat/>
    <w:rPr/>
  </w:style>
  <w:style w:type="character" w:styleId="WW8Num18z6">
    <w:name w:val="WW8Num18z6"/>
    <w:qFormat/>
    <w:rPr/>
  </w:style>
  <w:style w:type="character" w:styleId="WW8Num18z7">
    <w:name w:val="WW8Num18z7"/>
    <w:qFormat/>
    <w:rPr/>
  </w:style>
  <w:style w:type="character" w:styleId="WW8Num18z8">
    <w:name w:val="WW8Num18z8"/>
    <w:qFormat/>
    <w:rPr/>
  </w:style>
  <w:style w:type="character" w:styleId="WW8Num19z0">
    <w:name w:val="WW8Num19z0"/>
    <w:qFormat/>
    <w:rPr/>
  </w:style>
  <w:style w:type="character" w:styleId="WW8Num19z1">
    <w:name w:val="WW8Num19z1"/>
    <w:qFormat/>
    <w:rPr/>
  </w:style>
  <w:style w:type="character" w:styleId="WW8Num19z2">
    <w:name w:val="WW8Num19z2"/>
    <w:qFormat/>
    <w:rPr/>
  </w:style>
  <w:style w:type="character" w:styleId="WW8Num19z3">
    <w:name w:val="WW8Num19z3"/>
    <w:qFormat/>
    <w:rPr/>
  </w:style>
  <w:style w:type="character" w:styleId="WW8Num19z4">
    <w:name w:val="WW8Num19z4"/>
    <w:qFormat/>
    <w:rPr/>
  </w:style>
  <w:style w:type="character" w:styleId="WW8Num19z5">
    <w:name w:val="WW8Num19z5"/>
    <w:qFormat/>
    <w:rPr/>
  </w:style>
  <w:style w:type="character" w:styleId="WW8Num19z6">
    <w:name w:val="WW8Num19z6"/>
    <w:qFormat/>
    <w:rPr/>
  </w:style>
  <w:style w:type="character" w:styleId="WW8Num19z7">
    <w:name w:val="WW8Num19z7"/>
    <w:qFormat/>
    <w:rPr/>
  </w:style>
  <w:style w:type="character" w:styleId="WW8Num19z8">
    <w:name w:val="WW8Num19z8"/>
    <w:qFormat/>
    <w:rPr/>
  </w:style>
  <w:style w:type="character" w:styleId="WW8Num20z0">
    <w:name w:val="WW8Num20z0"/>
    <w:qFormat/>
    <w:rPr/>
  </w:style>
  <w:style w:type="character" w:styleId="WW8Num20z1">
    <w:name w:val="WW8Num20z1"/>
    <w:qFormat/>
    <w:rPr/>
  </w:style>
  <w:style w:type="character" w:styleId="WW8Num20z2">
    <w:name w:val="WW8Num20z2"/>
    <w:qFormat/>
    <w:rPr/>
  </w:style>
  <w:style w:type="character" w:styleId="WW8Num20z3">
    <w:name w:val="WW8Num20z3"/>
    <w:qFormat/>
    <w:rPr/>
  </w:style>
  <w:style w:type="character" w:styleId="WW8Num20z4">
    <w:name w:val="WW8Num20z4"/>
    <w:qFormat/>
    <w:rPr/>
  </w:style>
  <w:style w:type="character" w:styleId="WW8Num20z5">
    <w:name w:val="WW8Num20z5"/>
    <w:qFormat/>
    <w:rPr/>
  </w:style>
  <w:style w:type="character" w:styleId="WW8Num20z6">
    <w:name w:val="WW8Num20z6"/>
    <w:qFormat/>
    <w:rPr/>
  </w:style>
  <w:style w:type="character" w:styleId="WW8Num20z7">
    <w:name w:val="WW8Num20z7"/>
    <w:qFormat/>
    <w:rPr/>
  </w:style>
  <w:style w:type="character" w:styleId="WW8Num20z8">
    <w:name w:val="WW8Num20z8"/>
    <w:qFormat/>
    <w:rPr/>
  </w:style>
  <w:style w:type="character" w:styleId="Style12">
    <w:name w:val="Основной шрифт абзаца"/>
    <w:qFormat/>
    <w:rPr/>
  </w:style>
  <w:style w:type="character" w:styleId="InternetLink">
    <w:name w:val="Internet Link"/>
    <w:basedOn w:val="Style12"/>
    <w:rPr>
      <w:color w:val="0000FF"/>
      <w:u w:val="single"/>
    </w:rPr>
  </w:style>
  <w:style w:type="character" w:styleId="Style13">
    <w:name w:val="Основной текст с отступом Знак"/>
    <w:basedOn w:val="Style12"/>
    <w:qFormat/>
    <w:rPr>
      <w:b/>
    </w:rPr>
  </w:style>
  <w:style w:type="character" w:styleId="2">
    <w:name w:val="Основной текст (2)_"/>
    <w:basedOn w:val="Style12"/>
    <w:qFormat/>
    <w:rPr>
      <w:b/>
      <w:bCs/>
      <w:spacing w:val="5"/>
      <w:sz w:val="25"/>
      <w:szCs w:val="25"/>
      <w:shd w:val="clear" w:fill="FFFFFF"/>
    </w:rPr>
  </w:style>
  <w:style w:type="character" w:styleId="StrongEmphasis">
    <w:name w:val="Strong Emphasis"/>
    <w:basedOn w:val="Style12"/>
    <w:qFormat/>
    <w:rPr>
      <w:b/>
      <w:bCs/>
    </w:rPr>
  </w:style>
  <w:style w:type="paragraph" w:styleId="Heading">
    <w:name w:val="Heading"/>
    <w:basedOn w:val="Normal"/>
    <w:next w:val="TextBody"/>
    <w:qFormat/>
    <w:pPr>
      <w:jc w:val="center"/>
    </w:pPr>
    <w:rPr>
      <w:b/>
      <w:color w:val="000000"/>
      <w:sz w:val="28"/>
      <w:szCs w:val="20"/>
    </w:rPr>
  </w:style>
  <w:style w:type="paragraph" w:styleId="TextBody">
    <w:name w:val="Body Text"/>
    <w:basedOn w:val="Normal"/>
    <w:pPr>
      <w:jc w:val="both"/>
    </w:pPr>
    <w:rPr>
      <w:sz w:val="28"/>
      <w:szCs w:val="28"/>
    </w:rPr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TextBodyIndent">
    <w:name w:val="Body Text Indent"/>
    <w:basedOn w:val="Normal"/>
    <w:pPr>
      <w:jc w:val="center"/>
    </w:pPr>
    <w:rPr>
      <w:b/>
      <w:sz w:val="20"/>
      <w:szCs w:val="20"/>
    </w:rPr>
  </w:style>
  <w:style w:type="paragraph" w:styleId="21">
    <w:name w:val="Основной текст 2"/>
    <w:basedOn w:val="Normal"/>
    <w:qFormat/>
    <w:pPr>
      <w:spacing w:before="0" w:after="120" w:line="480" w:lineRule="auto"/>
    </w:pPr>
    <w:rPr/>
  </w:style>
  <w:style w:type="paragraph" w:styleId="Style14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">
    <w:name w:val="Знак1"/>
    <w:basedOn w:val="Normal"/>
    <w:qFormat/>
    <w:pPr>
      <w:spacing w:before="0" w:after="160" w:line="240" w:lineRule="exact"/>
    </w:pPr>
    <w:rPr>
      <w:rFonts w:eastAsia="Calibri;Century Gothic"/>
      <w:sz w:val="20"/>
      <w:szCs w:val="20"/>
      <w:lang w:eastAsia="zh-CN"/>
    </w:rPr>
  </w:style>
  <w:style w:type="paragraph" w:styleId="22">
    <w:name w:val="Основной текст (2)"/>
    <w:basedOn w:val="Normal"/>
    <w:qFormat/>
    <w:pPr>
      <w:widowControl w:val="false"/>
      <w:shd w:val="clear" w:fill="FFFFFF"/>
      <w:spacing w:line="317" w:lineRule="exact"/>
      <w:jc w:val="center"/>
    </w:pPr>
    <w:rPr>
      <w:b/>
      <w:bCs/>
      <w:spacing w:val="5"/>
      <w:sz w:val="25"/>
      <w:szCs w:val="25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1" /><Relationship Type="http://schemas.openxmlformats.org/officeDocument/2006/relationships/numbering" Target="numbering.xml" Id="rId3" /><Relationship Type="http://schemas.openxmlformats.org/officeDocument/2006/relationships/fontTable" Target="fontTable.xml" Id="rId4" /><Relationship Type="http://schemas.openxmlformats.org/officeDocument/2006/relationships/settings" Target="settings.xml" Id="rId5" /></Relationships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terms:created xsi:type="dcterms:W3CDTF">2019-03-14T06:02:00.0000000Z</dcterms:created>
  <dc:creator>VOTA NГO А REGIONALIZAЗГO! SIM AO REFORЗO DO MUNICIPALISMO!</dc:creator>
  <dc:description/>
  <dc:language>en-US</dc:language>
  <lastModifiedBy>Adm-mgo.prog</lastModifiedBy>
  <lastPrinted>2019-03-11T12:40:00.0000000Z</lastPrinted>
  <dcterms:modified xsi:type="dcterms:W3CDTF">2019-03-14T10:10:00.6079279Z</dcterms:modified>
  <revision>3</revision>
  <dc:subject>JOГO JARDIM x8?! PORRA! DIA 8 VOTA NГO!</dc:subject>
  <dc:title>Бугаевой М</dc:title>
</coreProperties>
</file>