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7"/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z w:val="24"/>
          <w:shd w:fill="auto" w:val="clear"/>
        </w:rPr>
        <w:t>Доклад главы Малышевского муниципального округа</w:t>
      </w:r>
    </w:p>
    <w:p>
      <w:pPr>
        <w:pStyle w:val="Normal"/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о достигнутых значениях показателей для оценки эффективности деятельности органов местного самоуправления Малышевского муниципального округа за 2025 год и их планируемых значениях на 3-летний период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FFFF00" w:val="clear"/>
        </w:rPr>
      </w:pPr>
      <w:r>
        <w:rPr>
          <w:rFonts w:ascii="Liberation Serif" w:hAnsi="Liberation Serif"/>
          <w:b/>
          <w:bCs/>
          <w:shd w:fill="FFFF00" w:val="clear"/>
        </w:rPr>
      </w:r>
    </w:p>
    <w:p>
      <w:pPr>
        <w:pStyle w:val="Normal"/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Введение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  <w:bCs/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1843" w:leader="none"/>
        </w:tabs>
        <w:ind w:firstLine="709"/>
        <w:rPr>
          <w:highlight w:val="none"/>
          <w:shd w:fill="FFFF00" w:val="clear"/>
        </w:rPr>
      </w:pPr>
      <w:r>
        <w:rPr>
          <w:rFonts w:ascii="Liberation Serif" w:hAnsi="Liberation Serif"/>
          <w:shd w:fill="auto" w:val="clear"/>
        </w:rPr>
        <w:t xml:space="preserve">Малышевский муниципальный округ включает в себя поселок городского типа Малышева, поселок Изумруд, поселок Шамейский, поселок Чапаева. Административный центр Малышевского муниципального округа-поселок городского типа Малышева. На 1 января 2025 года на территории Малышевского муниципального округа по данным Свердловскстата проживает </w:t>
      </w:r>
      <w:r>
        <w:rPr>
          <w:rFonts w:ascii="Liberation Serif" w:hAnsi="Liberation Serif"/>
          <w:b w:val="false"/>
          <w:bCs w:val="false"/>
          <w:color w:val="000000"/>
          <w:shd w:fill="auto" w:val="clear"/>
        </w:rPr>
        <w:t>9457</w:t>
      </w:r>
      <w:r>
        <w:rPr>
          <w:rFonts w:ascii="Liberation Serif" w:hAnsi="Liberation Serif"/>
          <w:shd w:fill="auto" w:val="clear"/>
        </w:rPr>
        <w:t xml:space="preserve"> человек населения, среднегодовая численность за 2025 год составила </w:t>
      </w:r>
      <w:r>
        <w:rPr>
          <w:rFonts w:ascii="Liberation Serif" w:hAnsi="Liberation Serif"/>
          <w:b w:val="false"/>
          <w:bCs w:val="false"/>
          <w:color w:val="000000"/>
          <w:shd w:fill="auto" w:val="clear"/>
        </w:rPr>
        <w:t>9416</w:t>
      </w:r>
      <w:r>
        <w:rPr>
          <w:rFonts w:ascii="Liberation Serif" w:hAnsi="Liberation Serif"/>
          <w:shd w:fill="auto" w:val="clear"/>
        </w:rPr>
        <w:t xml:space="preserve"> человек. При расчете показателей на единицу численности населения использовались данные значения.</w:t>
      </w:r>
    </w:p>
    <w:p>
      <w:pPr>
        <w:pStyle w:val="Normal"/>
        <w:ind w:firstLine="709"/>
        <w:rPr>
          <w:highlight w:val="none"/>
          <w:shd w:fill="FFFF00" w:val="clear"/>
        </w:rPr>
      </w:pPr>
      <w:r>
        <w:rPr>
          <w:rFonts w:cs="Liberation Serif" w:ascii="Liberation Serif" w:hAnsi="Liberation Serif"/>
          <w:shd w:fill="auto" w:val="clear"/>
        </w:rPr>
        <w:t xml:space="preserve">Согласно данным Свердловскстата в статистическом регистре хозяйствующих субъектов на территории Малышевского муниципального округа на 1 января 2026 года зарегистрировано </w:t>
      </w:r>
      <w:r>
        <w:rPr>
          <w:rFonts w:cs="Liberation Serif" w:ascii="Liberation Serif" w:hAnsi="Liberation Serif"/>
          <w:b w:val="false"/>
          <w:bCs w:val="false"/>
          <w:color w:val="000000"/>
          <w:shd w:fill="auto" w:val="clear"/>
        </w:rPr>
        <w:t>334</w:t>
      </w:r>
      <w:r>
        <w:rPr>
          <w:rFonts w:cs="Liberation Serif" w:ascii="Liberation Serif" w:hAnsi="Liberation Serif"/>
          <w:shd w:fill="FFFF00" w:val="clear"/>
        </w:rPr>
        <w:t xml:space="preserve"> </w:t>
      </w:r>
      <w:r>
        <w:rPr>
          <w:rFonts w:cs="Liberation Serif" w:ascii="Liberation Serif" w:hAnsi="Liberation Serif"/>
          <w:shd w:fill="auto" w:val="clear"/>
        </w:rPr>
        <w:t>организаций всех форм собственности.</w:t>
      </w:r>
    </w:p>
    <w:p>
      <w:pPr>
        <w:pStyle w:val="Normal"/>
        <w:ind w:firstLine="709"/>
        <w:rPr>
          <w:highlight w:val="none"/>
          <w:shd w:fill="FFFF00" w:val="clear"/>
        </w:rPr>
      </w:pPr>
      <w:r>
        <w:rPr>
          <w:rFonts w:cs="Liberation Serif" w:ascii="Liberation Serif" w:hAnsi="Liberation Serif"/>
          <w:shd w:fill="auto" w:val="clear"/>
        </w:rPr>
        <w:t xml:space="preserve">Преобладающее число организаций и индивидуальных предпринимателей (111 организаций и 223 индивидуальных предпринимателей) зарегистрированы по виду экономической деятельности «Торговля оптовая и розничная, ремонт автотранспортных средств и мотоциклов».  </w:t>
      </w:r>
    </w:p>
    <w:p>
      <w:pPr>
        <w:pStyle w:val="Normal"/>
        <w:ind w:firstLine="709"/>
        <w:rPr>
          <w:highlight w:val="none"/>
          <w:shd w:fill="FFFF00" w:val="clear"/>
        </w:rPr>
      </w:pPr>
      <w:r>
        <w:rPr>
          <w:rFonts w:ascii="Liberation Serif" w:hAnsi="Liberation Serif"/>
          <w:shd w:fill="auto" w:val="clear"/>
        </w:rPr>
        <w:t xml:space="preserve"> </w:t>
      </w:r>
      <w:r>
        <w:rPr>
          <w:rFonts w:ascii="Liberation Serif" w:hAnsi="Liberation Serif"/>
          <w:shd w:fill="auto" w:val="clear"/>
        </w:rPr>
        <w:t>Кроме того, на 1 января 2026 года зарегистрировано 1026 плательщика налога на профессиональный доход.</w:t>
      </w:r>
    </w:p>
    <w:p>
      <w:pPr>
        <w:pStyle w:val="Normal"/>
        <w:tabs>
          <w:tab w:val="clear" w:pos="708"/>
          <w:tab w:val="left" w:pos="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В качестве исходных данных для проведения мониторинга эффективности деятельности органов местного самоуправления за 2025 год использованы показатели, представленные (функциональными) структурными подразделениями администрации Малышевского муниципального  округа (далее - администрация), материалы территориальных  исполнительных органов государственной власти Свердловской области, результаты опросов населения, проводимых на территории Малышевского муниципального  округа.</w:t>
      </w:r>
    </w:p>
    <w:p>
      <w:pPr>
        <w:pStyle w:val="Normal"/>
        <w:tabs>
          <w:tab w:val="clear" w:pos="708"/>
          <w:tab w:val="left" w:pos="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Деятельность органов местного самоуправления Малышевского муниципального  округа в отчетном 2025 году была направлена на  решение вопросов местного значения, обозначенных Федеральным законом от 06.10.2003 года № 131-ФЗ «Об общих принципах организации местного самоуправления в Российской Федерации» и Устава Малышевского муниципального  округа. </w:t>
      </w:r>
    </w:p>
    <w:p>
      <w:pPr>
        <w:pStyle w:val="Normal"/>
        <w:numPr>
          <w:ilvl w:val="0"/>
          <w:numId w:val="0"/>
        </w:numPr>
        <w:spacing w:before="0" w:after="0"/>
        <w:ind w:left="0" w:firstLine="709"/>
        <w:contextualSpacing/>
        <w:textAlignment w:val="baseline"/>
        <w:outlineLvl w:val="0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Учитывая цели и задачи, обозначенные в паспортах национальных проектов, первоочередными мероприятиями в работе администрации на 2025 год стали приведение в соответствие с требованиями пожарной безопасности и санитарного законодательства образовательных учреждений, ремонт дорожной инфраструктуры, поддержка малого и среднего предпринимательства, создание комфортной среды в муниципальном округе</w:t>
      </w:r>
      <w:r>
        <w:rPr>
          <w:rFonts w:cs="Liberation Serif" w:ascii="Liberation Serif" w:hAnsi="Liberation Serif"/>
          <w:bCs/>
          <w:iCs/>
          <w:color w:val="000000"/>
          <w:shd w:fill="auto" w:val="clear"/>
        </w:rPr>
        <w:t>.</w:t>
      </w:r>
    </w:p>
    <w:p>
      <w:pPr>
        <w:pStyle w:val="Normal"/>
        <w:numPr>
          <w:ilvl w:val="0"/>
          <w:numId w:val="0"/>
        </w:numPr>
        <w:spacing w:before="0" w:after="0"/>
        <w:ind w:left="0" w:firstLine="709"/>
        <w:contextualSpacing/>
        <w:textAlignment w:val="baseline"/>
        <w:outlineLvl w:val="0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Основополагающими документами стратегического планирования социально-экономического развития муниципального округа, реализация которых продолжена в 2025 году, являются:</w:t>
      </w:r>
    </w:p>
    <w:p>
      <w:pPr>
        <w:pStyle w:val="Normal"/>
        <w:numPr>
          <w:ilvl w:val="0"/>
          <w:numId w:val="0"/>
        </w:numPr>
        <w:spacing w:before="0" w:after="0"/>
        <w:ind w:left="0" w:firstLine="709"/>
        <w:contextualSpacing/>
        <w:textAlignment w:val="baseline"/>
        <w:outlineLvl w:val="0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Стратегия социально-экономического развития Малышевского муниципального округа (далее – Стратегия), утвержденная решением Думы Малышевского муниципального округа от 20.12.2018 года № 168;</w:t>
      </w:r>
    </w:p>
    <w:p>
      <w:pPr>
        <w:pStyle w:val="Normal"/>
        <w:numPr>
          <w:ilvl w:val="0"/>
          <w:numId w:val="0"/>
        </w:numPr>
        <w:spacing w:before="0" w:after="0"/>
        <w:ind w:left="0" w:firstLine="709"/>
        <w:contextualSpacing/>
        <w:textAlignment w:val="baseline"/>
        <w:outlineLvl w:val="0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муниципальные программы Малышевского муниципального округа.</w:t>
      </w:r>
    </w:p>
    <w:p>
      <w:pPr>
        <w:pStyle w:val="Normal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Заполнение показателей в   </w:t>
      </w:r>
      <w:r>
        <w:rPr>
          <w:rFonts w:cs="Liberation Serif" w:ascii="Liberation Serif" w:hAnsi="Liberation Serif"/>
          <w:shd w:fill="auto" w:val="clear"/>
        </w:rPr>
        <w:t>подсистеме "Система управления данными о социально-экономическом развитии" информационной системы для организации мониторинга социально-экономического развития Свердловской области,</w:t>
      </w:r>
      <w:r>
        <w:rPr>
          <w:rFonts w:ascii="Liberation Serif" w:hAnsi="Liberation Serif"/>
          <w:shd w:fill="auto" w:val="clear"/>
        </w:rPr>
        <w:t xml:space="preserve"> произведено в срок до 10 апреля 2026 года на основании постановления Правительства Свердловской области от 12.04.2013 № 485-ПП.</w:t>
      </w:r>
    </w:p>
    <w:p>
      <w:pPr>
        <w:pStyle w:val="Normal"/>
        <w:tabs>
          <w:tab w:val="clear" w:pos="708"/>
          <w:tab w:val="left" w:pos="1843" w:leader="none"/>
        </w:tabs>
        <w:ind w:firstLine="709"/>
        <w:rPr>
          <w:highlight w:val="none"/>
          <w:shd w:fill="FFFF00" w:val="clear"/>
        </w:rPr>
      </w:pPr>
      <w:r>
        <w:rPr>
          <w:rFonts w:ascii="Liberation Serif" w:hAnsi="Liberation Serif"/>
          <w:b/>
          <w:bCs/>
          <w:shd w:fill="FFFF00" w:val="clear"/>
        </w:rPr>
        <w:t xml:space="preserve">      </w:t>
      </w:r>
    </w:p>
    <w:p>
      <w:pPr>
        <w:pStyle w:val="Normal"/>
        <w:tabs>
          <w:tab w:val="clear" w:pos="708"/>
          <w:tab w:val="left" w:pos="567" w:leader="none"/>
        </w:tabs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Экономическое развитие</w:t>
      </w:r>
    </w:p>
    <w:p>
      <w:pPr>
        <w:pStyle w:val="Normal"/>
        <w:tabs>
          <w:tab w:val="clear" w:pos="708"/>
          <w:tab w:val="left" w:pos="567" w:leader="none"/>
        </w:tabs>
        <w:ind w:firstLine="709"/>
        <w:jc w:val="center"/>
        <w:rPr>
          <w:rFonts w:ascii="Liberation Serif" w:hAnsi="Liberation Serif"/>
          <w:b/>
          <w:b/>
          <w:bCs/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</w:r>
    </w:p>
    <w:p>
      <w:pPr>
        <w:pStyle w:val="Normal"/>
        <w:ind w:firstLine="540"/>
        <w:rPr>
          <w:highlight w:val="none"/>
          <w:shd w:fill="auto" w:val="clear"/>
        </w:rPr>
      </w:pPr>
      <w:r>
        <w:rPr>
          <w:rFonts w:cs="Liberation Serif" w:ascii="Liberation Serif" w:hAnsi="Liberation Serif"/>
          <w:shd w:fill="auto" w:val="clear"/>
        </w:rPr>
        <w:t>В сложных условиях Малышевский муниципальный округ показывает достаточно высокий уровень экономического развития:</w:t>
      </w:r>
    </w:p>
    <w:p>
      <w:pPr>
        <w:pStyle w:val="Normal"/>
        <w:ind w:firstLine="540"/>
        <w:rPr>
          <w:highlight w:val="none"/>
          <w:shd w:fill="FFFF00" w:val="clear"/>
        </w:rPr>
      </w:pPr>
      <w:r>
        <w:rPr>
          <w:rFonts w:cs="Liberation Serif" w:ascii="Liberation Serif" w:hAnsi="Liberation Serif"/>
          <w:shd w:fill="auto" w:val="clear"/>
        </w:rPr>
        <w:t xml:space="preserve"> </w:t>
      </w:r>
      <w:r>
        <w:rPr>
          <w:rFonts w:cs="Liberation Serif" w:ascii="Liberation Serif" w:hAnsi="Liberation Serif"/>
          <w:shd w:fill="auto" w:val="clear"/>
        </w:rPr>
        <w:t xml:space="preserve">Рынок труда показывает беспрецедентно низкий уровень безработицы-всего </w:t>
      </w:r>
      <w:r>
        <w:rPr>
          <w:rFonts w:cs="Liberation Serif" w:ascii="Liberation Serif" w:hAnsi="Liberation Serif"/>
          <w:b w:val="false"/>
          <w:bCs w:val="false"/>
          <w:color w:val="000000"/>
          <w:shd w:fill="auto" w:val="clear"/>
        </w:rPr>
        <w:t>10</w:t>
      </w:r>
      <w:r>
        <w:rPr>
          <w:rFonts w:cs="Liberation Serif" w:ascii="Liberation Serif" w:hAnsi="Liberation Serif"/>
          <w:shd w:fill="auto" w:val="clear"/>
        </w:rPr>
        <w:t xml:space="preserve"> безработных,</w:t>
      </w:r>
      <w:r>
        <w:rPr>
          <w:rFonts w:cs="Liberation Serif" w:ascii="Liberation Serif" w:hAnsi="Liberation Serif"/>
          <w:shd w:fill="FFFF00" w:val="clear"/>
        </w:rPr>
        <w:t xml:space="preserve"> </w:t>
      </w:r>
      <w:r>
        <w:rPr>
          <w:rFonts w:cs="Liberation Serif" w:ascii="Liberation Serif" w:hAnsi="Liberation Serif"/>
          <w:shd w:fill="auto" w:val="clear"/>
        </w:rPr>
        <w:t xml:space="preserve">что обусловлено развитием производства и повышением уровня занятости в основных отраслях Малышевского муниципального округа, при этом в округе 80 вакансий. </w:t>
      </w:r>
    </w:p>
    <w:p>
      <w:pPr>
        <w:pStyle w:val="Normal"/>
        <w:ind w:firstLine="540"/>
        <w:rPr>
          <w:highlight w:val="none"/>
          <w:shd w:fill="FFFF00" w:val="clear"/>
        </w:rPr>
      </w:pPr>
      <w:r>
        <w:rPr>
          <w:rFonts w:cs="Liberation Serif" w:ascii="Liberation Serif" w:hAnsi="Liberation Serif"/>
          <w:shd w:fill="auto" w:val="clear"/>
        </w:rPr>
        <w:t xml:space="preserve">Итоги работы за 2025 год показывают значительный рост основных показателей, например, рост объема отгруженных товаров собственного производства в </w:t>
      </w:r>
      <w:r>
        <w:rPr>
          <w:rFonts w:cs="Liberation Serif" w:ascii="Liberation Serif" w:hAnsi="Liberation Serif"/>
          <w:b w:val="false"/>
          <w:bCs w:val="false"/>
          <w:color w:val="000000"/>
          <w:shd w:fill="auto" w:val="clear"/>
        </w:rPr>
        <w:t>1,3 раза</w:t>
      </w:r>
      <w:r>
        <w:rPr>
          <w:rFonts w:cs="Liberation Serif" w:ascii="Liberation Serif" w:hAnsi="Liberation Serif"/>
          <w:b/>
          <w:bCs/>
          <w:color w:val="C9211E"/>
          <w:shd w:fill="auto" w:val="clear"/>
        </w:rPr>
        <w:t xml:space="preserve"> </w:t>
      </w:r>
      <w:r>
        <w:rPr>
          <w:rFonts w:cs="Liberation Serif" w:ascii="Liberation Serif" w:hAnsi="Liberation Serif"/>
          <w:b w:val="false"/>
          <w:bCs w:val="false"/>
          <w:color w:val="000000"/>
          <w:shd w:fill="auto" w:val="clear"/>
        </w:rPr>
        <w:t>к уровню 2024 года</w:t>
      </w:r>
    </w:p>
    <w:p>
      <w:pPr>
        <w:pStyle w:val="Normal"/>
        <w:ind w:left="0" w:right="0" w:firstLine="540"/>
        <w:jc w:val="both"/>
        <w:rPr>
          <w:highlight w:val="none"/>
          <w:shd w:fill="auto" w:val="clear"/>
        </w:rPr>
      </w:pPr>
      <w:r>
        <w:rPr>
          <w:rFonts w:cs="Liberation Serif" w:ascii="Liberation Serif" w:hAnsi="Liberation Serif"/>
          <w:shd w:fill="auto" w:val="clear"/>
        </w:rPr>
        <w:t xml:space="preserve">За 2021-2025 годы бюджет Малышевского муниципального округа вырос на </w:t>
      </w:r>
      <w:r>
        <w:rPr>
          <w:rFonts w:cs="Liberation Serif" w:ascii="Liberation Serif" w:hAnsi="Liberation Serif"/>
          <w:color w:val="1C1C1C"/>
          <w:shd w:fill="auto" w:val="clear"/>
        </w:rPr>
        <w:t xml:space="preserve">27 </w:t>
      </w:r>
      <w:r>
        <w:rPr>
          <w:rFonts w:cs="Liberation Serif" w:ascii="Liberation Serif" w:hAnsi="Liberation Serif"/>
          <w:shd w:fill="auto" w:val="clear"/>
        </w:rPr>
        <w:t>%, что гарантирует выполнение всех социальных обязательств проектов Малышевского муниципального округа.</w:t>
      </w:r>
    </w:p>
    <w:p>
      <w:pPr>
        <w:pStyle w:val="Normal"/>
        <w:ind w:left="0" w:right="0" w:firstLine="540"/>
        <w:jc w:val="both"/>
        <w:rPr>
          <w:highlight w:val="none"/>
          <w:shd w:fill="auto" w:val="clear"/>
        </w:rPr>
      </w:pPr>
      <w:r>
        <w:rPr>
          <w:rFonts w:eastAsia="Calibri" w:cs="Liberation Serif" w:ascii="Liberation Serif" w:hAnsi="Liberation Serif"/>
          <w:shd w:fill="auto" w:val="clear"/>
        </w:rPr>
        <w:t xml:space="preserve">Оборот крупных и средних предприятий и организаций на территории Малышевского муниципального округа по всем видам экономической деятельности за 12 месяцев 2025 года увеличился  и  составил </w:t>
      </w:r>
      <w:r>
        <w:rPr>
          <w:rFonts w:eastAsia="Calibri" w:cs="Liberation Serif" w:ascii="Liberation Serif" w:hAnsi="Liberation Serif"/>
          <w:b w:val="false"/>
          <w:bCs w:val="false"/>
          <w:color w:val="000000"/>
          <w:shd w:fill="auto" w:val="clear"/>
        </w:rPr>
        <w:t xml:space="preserve">4332,8 млн. рублей или 100,3 процента к соответствующему периоду 2024 года. </w:t>
      </w:r>
    </w:p>
    <w:p>
      <w:pPr>
        <w:pStyle w:val="Normal"/>
        <w:ind w:left="0" w:right="0" w:firstLine="709"/>
        <w:jc w:val="both"/>
        <w:rPr>
          <w:rFonts w:ascii="Liberation Serif;Times New Roman" w:hAnsi="Liberation Serif;Times New Roman" w:cs="Liberation Serif;Times New Roman"/>
          <w:bCs/>
          <w:color w:val="000000"/>
        </w:rPr>
      </w:pPr>
      <w:r>
        <w:rPr>
          <w:rFonts w:cs="Liberation Serif;Times New Roman" w:ascii="Liberation Serif;Times New Roman" w:hAnsi="Liberation Serif;Times New Roman"/>
          <w:bCs/>
          <w:color w:val="000000"/>
        </w:rPr>
        <w:t>Объем инвестиций в основной капитал за 12 месяцев 2025 года составил 173,6 млн. рублей или 121,9 процента к аналогичному периоду 2024 года (2024 – 142,4 млн. руб.).</w:t>
      </w:r>
    </w:p>
    <w:p>
      <w:pPr>
        <w:pStyle w:val="Normal"/>
        <w:ind w:left="0" w:right="0" w:firstLine="709"/>
        <w:jc w:val="both"/>
        <w:rPr>
          <w:highlight w:val="none"/>
          <w:shd w:fill="auto" w:val="clear"/>
        </w:rPr>
      </w:pPr>
      <w:r>
        <w:rPr>
          <w:rFonts w:eastAsia="Calibri" w:cs="Liberation Serif;Times New Roman" w:ascii="Liberation Serif;Times New Roman" w:hAnsi="Liberation Serif;Times New Roman"/>
          <w:color w:val="000000"/>
          <w:shd w:fill="auto" w:val="clear"/>
        </w:rPr>
        <w:t xml:space="preserve">Объем инвестиций в основной капитал на душу населения за 12 месяцев 2025 года составил 18 435,22 рубля (за аналогичный период </w:t>
      </w:r>
      <w:r>
        <w:rPr>
          <w:rFonts w:eastAsia="Calibri" w:cs="Liberation Serif;Times New Roman" w:ascii="Liberation Serif;Times New Roman" w:hAnsi="Liberation Serif;Times New Roman"/>
          <w:bCs/>
          <w:color w:val="000000"/>
          <w:shd w:fill="auto" w:val="clear"/>
        </w:rPr>
        <w:t>предыдущего года</w:t>
      </w:r>
      <w:r>
        <w:rPr>
          <w:rFonts w:eastAsia="Calibri" w:cs="Liberation Serif;Times New Roman" w:ascii="Liberation Serif;Times New Roman" w:hAnsi="Liberation Serif;Times New Roman"/>
          <w:color w:val="000000"/>
          <w:shd w:fill="auto" w:val="clear"/>
        </w:rPr>
        <w:t xml:space="preserve"> 14 989,16 рублей).</w:t>
      </w:r>
    </w:p>
    <w:p>
      <w:pPr>
        <w:pStyle w:val="Normal"/>
        <w:ind w:left="0" w:right="0" w:firstLine="709"/>
        <w:jc w:val="both"/>
        <w:rPr>
          <w:rFonts w:ascii="Liberation Serif;Times New Roman" w:hAnsi="Liberation Serif;Times New Roman" w:cs="Liberation Serif;Times New Roman"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За 2025 год  по данным  Свердловскстата введено в действие 1919 кв. м. площади, в том числе за счет ИЖС - 1168 кв. метра (2024 год - 1410 кв. м., в том числе за счет индивидуального жилищного строительства – 2921 кв. метров, 2023 год - 2921 кв. м., 2022 год- 6183 кв. м., в том числе за счет индивидуального жилищного строительства – 2428 кв. метров)</w:t>
      </w:r>
    </w:p>
    <w:p>
      <w:pPr>
        <w:pStyle w:val="Normal"/>
        <w:ind w:left="0" w:right="0" w:firstLine="709"/>
        <w:jc w:val="both"/>
        <w:rPr/>
      </w:pPr>
      <w:r>
        <w:rPr>
          <w:rFonts w:eastAsia="Calibri" w:cs="Liberation Serif;Times New Roman" w:ascii="Liberation Serif;Times New Roman" w:hAnsi="Liberation Serif;Times New Roman"/>
          <w:color w:val="000000"/>
        </w:rPr>
        <w:t xml:space="preserve">Ведущей отраслью экономики Малышевского округа является горнодобывающая промышленность, добыча полезных ископаемых, </w:t>
      </w:r>
      <w:r>
        <w:rPr>
          <w:rFonts w:cs="Liberation Serif;Times New Roman" w:ascii="Liberation Serif;Times New Roman" w:hAnsi="Liberation Serif;Times New Roman"/>
          <w:color w:val="000000"/>
        </w:rPr>
        <w:t xml:space="preserve">по данным предоставленным Свердловскстатом, по разделу В </w:t>
      </w:r>
      <w:r>
        <w:rPr>
          <w:rFonts w:cs="Liberation Serif;Times New Roman" w:ascii="Liberation Serif;Times New Roman" w:hAnsi="Liberation Serif;Times New Roman"/>
          <w:lang w:bidi="ru-RU"/>
        </w:rPr>
        <w:t>«</w:t>
      </w:r>
      <w:r>
        <w:rPr>
          <w:rFonts w:cs="Liberation Serif;Times New Roman" w:ascii="Liberation Serif;Times New Roman" w:hAnsi="Liberation Serif;Times New Roman"/>
          <w:color w:val="000000"/>
        </w:rPr>
        <w:t>Добыча полезных ископаемых</w:t>
      </w:r>
      <w:r>
        <w:rPr>
          <w:rFonts w:cs="Liberation Serif;Times New Roman" w:ascii="Liberation Serif;Times New Roman" w:hAnsi="Liberation Serif;Times New Roman"/>
          <w:lang w:bidi="ru-RU"/>
        </w:rPr>
        <w:t>»</w:t>
      </w:r>
      <w:r>
        <w:rPr>
          <w:rFonts w:cs="Liberation Serif;Times New Roman" w:ascii="Liberation Serif;Times New Roman" w:hAnsi="Liberation Serif;Times New Roman"/>
          <w:color w:val="000000"/>
        </w:rPr>
        <w:t xml:space="preserve"> зарегистрировано 3 юридических лица, включая филиалы и представительства.</w:t>
      </w:r>
    </w:p>
    <w:p>
      <w:pPr>
        <w:pStyle w:val="Normal"/>
        <w:ind w:left="0" w:right="0" w:firstLine="709"/>
        <w:jc w:val="both"/>
        <w:rPr>
          <w:highlight w:val="none"/>
          <w:shd w:fill="auto" w:val="clear"/>
        </w:rPr>
      </w:pPr>
      <w:r>
        <w:rPr>
          <w:rFonts w:cs="Liberation Serif;Times New Roman" w:ascii="Liberation Serif;Times New Roman" w:hAnsi="Liberation Serif;Times New Roman"/>
          <w:color w:val="000000"/>
          <w:shd w:fill="auto" w:val="clear"/>
        </w:rPr>
        <w:t xml:space="preserve">По разделу С </w:t>
      </w:r>
      <w:r>
        <w:rPr>
          <w:rFonts w:cs="Liberation Serif;Times New Roman" w:ascii="Liberation Serif;Times New Roman" w:hAnsi="Liberation Serif;Times New Roman"/>
          <w:color w:val="000000"/>
          <w:shd w:fill="auto" w:val="clear"/>
          <w:lang w:bidi="ru-RU"/>
        </w:rPr>
        <w:t>«</w:t>
      </w:r>
      <w:r>
        <w:rPr>
          <w:rFonts w:cs="Liberation Serif;Times New Roman" w:ascii="Liberation Serif;Times New Roman" w:hAnsi="Liberation Serif;Times New Roman"/>
          <w:color w:val="000000"/>
          <w:shd w:fill="auto" w:val="clear"/>
        </w:rPr>
        <w:t>Обрабатывающие производства</w:t>
      </w:r>
      <w:r>
        <w:rPr>
          <w:rFonts w:cs="Liberation Serif;Times New Roman" w:ascii="Liberation Serif;Times New Roman" w:hAnsi="Liberation Serif;Times New Roman"/>
          <w:color w:val="000000"/>
          <w:shd w:fill="auto" w:val="clear"/>
          <w:lang w:bidi="ru-RU"/>
        </w:rPr>
        <w:t>»</w:t>
      </w:r>
      <w:r>
        <w:rPr>
          <w:rFonts w:cs="Liberation Serif;Times New Roman" w:ascii="Liberation Serif;Times New Roman" w:hAnsi="Liberation Serif;Times New Roman"/>
          <w:color w:val="000000"/>
          <w:shd w:fill="auto" w:val="clear"/>
        </w:rPr>
        <w:t xml:space="preserve"> зарегистрировано 12 юридических лиц, включая филиалы и представительства, 14 индивидуальных предпринимателей.</w:t>
      </w:r>
    </w:p>
    <w:p>
      <w:pPr>
        <w:pStyle w:val="Normal"/>
        <w:ind w:left="0" w:right="0" w:firstLine="709"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 xml:space="preserve">Градообразующим предприятием Малышевского округа является АО «Малышевское рудоуправление»: </w:t>
      </w:r>
    </w:p>
    <w:p>
      <w:pPr>
        <w:pStyle w:val="Normal"/>
        <w:ind w:left="0" w:right="0" w:firstLine="709"/>
        <w:jc w:val="both"/>
        <w:rPr/>
      </w:pPr>
      <w:r>
        <w:rPr>
          <w:rFonts w:cs="Liberation Serif;Times New Roman" w:ascii="Liberation Serif;Times New Roman" w:hAnsi="Liberation Serif;Times New Roman"/>
          <w:color w:val="000000"/>
        </w:rPr>
        <w:t>- среднесписочная численность работающих на предприятии – 4</w:t>
      </w:r>
      <w:r>
        <w:rPr>
          <w:rFonts w:cs="Liberation Serif;Times New Roman" w:ascii="Liberation Serif;Times New Roman" w:hAnsi="Liberation Serif;Times New Roman"/>
          <w:color w:val="000000"/>
          <w:lang w:val="en-US"/>
        </w:rPr>
        <w:t>70</w:t>
      </w:r>
      <w:r>
        <w:rPr>
          <w:rFonts w:cs="Liberation Serif;Times New Roman" w:ascii="Liberation Serif;Times New Roman" w:hAnsi="Liberation Serif;Times New Roman"/>
          <w:color w:val="000000"/>
        </w:rPr>
        <w:t xml:space="preserve"> человек (2024 - 459 чел.).</w:t>
      </w:r>
    </w:p>
    <w:p>
      <w:pPr>
        <w:pStyle w:val="Style23"/>
        <w:spacing w:lineRule="exact" w:line="340" w:before="0" w:after="0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Распоряжением Правительства Российской Федерации от 29.07.2014 N 1398-р «Об утверждении перечня монопрофильных муниципальных образований Российской Федерации» Малышевский муниципальный округ отнесен к категории монопрофильных муниципальных образований (моногород) со стабильно развивающейся экономикой. </w:t>
      </w:r>
    </w:p>
    <w:p>
      <w:pPr>
        <w:pStyle w:val="Normal"/>
        <w:ind w:left="0" w:right="0" w:firstLine="709"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Вторым крупным предприятием Малышевского округа является АО «Мариинский прииск». Предприятием в целях реализации инвестиционного проекта разработан технологический регламент «Разработка технологии обогащения и технологическ</w:t>
      </w:r>
    </w:p>
    <w:p>
      <w:pPr>
        <w:pStyle w:val="Normal"/>
        <w:ind w:left="0" w:right="0" w:hanging="0"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ого регламента на переработку бериллийсодержащих отходов обогащения руд Малышевского месторождения»</w:t>
      </w:r>
    </w:p>
    <w:p>
      <w:pPr>
        <w:pStyle w:val="Normal"/>
        <w:ind w:left="0" w:right="0" w:firstLine="709"/>
        <w:jc w:val="both"/>
        <w:rPr>
          <w:highlight w:val="none"/>
          <w:shd w:fill="auto" w:val="clear"/>
        </w:rPr>
      </w:pPr>
      <w:r>
        <w:rPr>
          <w:rFonts w:cs="Liberation Serif;Times New Roman" w:ascii="Liberation Serif;Times New Roman" w:hAnsi="Liberation Serif;Times New Roman"/>
          <w:color w:val="000000"/>
          <w:shd w:fill="auto" w:val="clear"/>
          <w:lang w:bidi="ru-RU"/>
        </w:rPr>
        <w:t>Численность работающих на предприятии составляет 337 человек (2024 год - 348 чел.).</w:t>
      </w:r>
      <w:r>
        <w:rPr>
          <w:rFonts w:cs="Liberation Serif;Times New Roman" w:ascii="Liberation Serif;Times New Roman" w:hAnsi="Liberation Serif;Times New Roman"/>
          <w:color w:val="000000"/>
          <w:shd w:fill="auto" w:val="clear"/>
        </w:rPr>
        <w:t xml:space="preserve"> </w:t>
      </w:r>
    </w:p>
    <w:p>
      <w:pPr>
        <w:pStyle w:val="Normal"/>
        <w:ind w:left="0" w:right="0" w:firstLine="709"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</w:r>
    </w:p>
    <w:p>
      <w:pPr>
        <w:pStyle w:val="Normal"/>
        <w:spacing w:before="0" w:after="0"/>
        <w:ind w:left="0" w:right="0" w:firstLine="708"/>
        <w:contextualSpacing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В 2025 году на территории Малышевского муниципального округа реализовывалось 3 национальных (региональных) проекта (в 2024 году реализовано 4 национальных (региональных) проекта):</w:t>
      </w:r>
    </w:p>
    <w:p>
      <w:pPr>
        <w:pStyle w:val="Normal"/>
        <w:ind w:left="0" w:right="0" w:firstLine="709"/>
        <w:jc w:val="both"/>
        <w:rPr/>
      </w:pPr>
      <w:r>
        <w:rPr>
          <w:rFonts w:cs="Liberation Serif;Times New Roman" w:ascii="Liberation Serif;Times New Roman" w:hAnsi="Liberation Serif;Times New Roman"/>
        </w:rPr>
        <w:t xml:space="preserve">- национальный проект «Молодежь и дети» федеральный проект «Педагоги и наставники» (мероприятия: </w:t>
      </w:r>
      <w:r>
        <w:rPr>
          <w:rFonts w:cs="Liberation Serif;Times New Roman" w:ascii="Liberation Serif;Times New Roman" w:hAnsi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бюджета)</w:t>
      </w:r>
      <w:r>
        <w:rPr>
          <w:rFonts w:cs="Liberation Serif;Times New Roman" w:ascii="Liberation Serif;Times New Roman" w:hAnsi="Liberation Serif;Times New Roman"/>
        </w:rPr>
        <w:t>;</w:t>
      </w:r>
    </w:p>
    <w:p>
      <w:pPr>
        <w:pStyle w:val="Normal"/>
        <w:ind w:left="0" w:right="0" w:firstLine="709"/>
        <w:jc w:val="both"/>
        <w:rPr/>
      </w:pPr>
      <w:bookmarkStart w:id="0" w:name="_Hlk141965412_Копия_11"/>
      <w:r>
        <w:rPr>
          <w:rFonts w:cs="Liberation Serif;Times New Roman" w:ascii="Liberation Serif;Times New Roman" w:hAnsi="Liberation Serif;Times New Roman"/>
        </w:rPr>
        <w:t>-</w:t>
      </w:r>
      <w:bookmarkEnd w:id="0"/>
      <w:r>
        <w:rPr>
          <w:rFonts w:cs="Liberation Serif;Times New Roman" w:ascii="Liberation Serif;Times New Roman" w:hAnsi="Liberation Serif;Times New Roman"/>
        </w:rPr>
        <w:t xml:space="preserve"> национальный проект 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«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Инфоструктура для жизни» ф</w:t>
      </w:r>
      <w:r>
        <w:rPr>
          <w:rFonts w:cs="Liberation Serif;Times New Roman" w:ascii="Liberation Serif;Times New Roman" w:hAnsi="Liberation Serif;Times New Roman"/>
        </w:rPr>
        <w:t xml:space="preserve">едеральный проект 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«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Жилье» </w:t>
      </w:r>
      <w:r>
        <w:rPr>
          <w:rFonts w:cs="Liberation Serif;Times New Roman" w:ascii="Liberation Serif;Times New Roman" w:hAnsi="Liberation Serif;Times New Roman"/>
        </w:rPr>
        <w:t xml:space="preserve">(мероприятие: </w:t>
      </w:r>
      <w:r>
        <w:rPr>
          <w:rFonts w:cs="Liberation Serif;Times New Roman" w:ascii="Liberation Serif;Times New Roman" w:hAnsi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Соглашение о выкупе жилого помещения с  выплатой стоимости выкупной цены);</w:t>
      </w:r>
    </w:p>
    <w:p>
      <w:pPr>
        <w:pStyle w:val="Normal"/>
        <w:ind w:left="0" w:right="0" w:firstLine="709"/>
        <w:jc w:val="both"/>
        <w:rPr/>
      </w:pPr>
      <w:r>
        <w:rPr>
          <w:rFonts w:cs="Liberation Serif;Times New Roman" w:ascii="Liberation Serif;Times New Roman" w:hAnsi="Liberation Serif;Times New Roman"/>
        </w:rPr>
        <w:t xml:space="preserve">- национальный проект 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«Инфоструктура для жизни» ф</w:t>
      </w:r>
      <w:r>
        <w:rPr>
          <w:rFonts w:cs="Liberation Serif;Times New Roman" w:ascii="Liberation Serif;Times New Roman" w:hAnsi="Liberation Serif;Times New Roman"/>
        </w:rPr>
        <w:t xml:space="preserve">едеральный проект 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«</w:t>
      </w:r>
      <w:r>
        <w:rPr>
          <w:rFonts w:cs="Liberation Serif;Times New Roman" w:ascii="Liberation Serif;Times New Roman" w:hAnsi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Формирование комфортной городской среды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» </w:t>
      </w:r>
      <w:r>
        <w:rPr>
          <w:rFonts w:cs="Liberation Serif;Times New Roman" w:ascii="Liberation Serif;Times New Roman" w:hAnsi="Liberation Serif;Times New Roman"/>
        </w:rPr>
        <w:t xml:space="preserve"> (мероприятие: </w:t>
      </w:r>
      <w:r>
        <w:rPr>
          <w:rFonts w:cs="Liberation Serif;Times New Roman" w:ascii="Liberation Serif;Times New Roman" w:hAnsi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Комплексное благоустройство общественной территории по адресу: пгт. Малышева, ул. Свободы</w:t>
      </w:r>
      <w:r>
        <w:rPr>
          <w:rFonts w:cs="Liberation Serif;Times New Roman" w:ascii="Liberation Serif;Times New Roman" w:hAnsi="Liberation Serif;Times New Roman"/>
        </w:rPr>
        <w:t>).</w:t>
      </w:r>
    </w:p>
    <w:p>
      <w:pPr>
        <w:pStyle w:val="ConsPlusNormal1"/>
        <w:ind w:left="0" w:right="0" w:hanging="0"/>
        <w:jc w:val="both"/>
        <w:rPr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Normal"/>
        <w:ind w:firstLine="709"/>
        <w:rPr>
          <w:rFonts w:ascii="Liberation Serif" w:hAnsi="Liberation Serif" w:cs="Liberation Serif"/>
          <w:highlight w:val="none"/>
          <w:shd w:fill="FFFF00" w:val="clear"/>
        </w:rPr>
      </w:pPr>
      <w:r>
        <w:rPr>
          <w:rFonts w:cs="Liberation Serif" w:ascii="Liberation Serif" w:hAnsi="Liberation Serif"/>
          <w:shd w:fill="FFFF00" w:val="clear"/>
        </w:rPr>
      </w:r>
    </w:p>
    <w:p>
      <w:pPr>
        <w:pStyle w:val="BodyTextIndent2"/>
        <w:ind w:firstLine="709"/>
        <w:jc w:val="left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1.Число субъектов малого и среднего предпринимательства в расчете на 10 тыс. человек населения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 xml:space="preserve">Основные цели и задачи развития малого и среднего предпринимательства определены  </w:t>
      </w:r>
      <w:r>
        <w:rPr>
          <w:rFonts w:cs="Arial" w:ascii="Liberation Serif" w:hAnsi="Liberation Serif"/>
          <w:b w:val="false"/>
          <w:i w:val="false"/>
          <w:caps w:val="false"/>
          <w:smallCaps w:val="false"/>
          <w:color w:val="020C22"/>
          <w:spacing w:val="0"/>
          <w:sz w:val="24"/>
          <w:shd w:fill="auto" w:val="clear"/>
        </w:rPr>
        <w:t xml:space="preserve">Указ Президента Российской Федерации от 07.05.2024 г. № 309 «О национальных целях развития Российской Федерации на период до 2030 года и перспективу до 2036 года» </w:t>
      </w:r>
      <w:r>
        <w:rPr>
          <w:rFonts w:cs="Arial" w:ascii="Liberation Serif" w:hAnsi="Liberation Serif"/>
          <w:b w:val="false"/>
          <w:color w:val="020C22"/>
          <w:sz w:val="24"/>
          <w:shd w:fill="auto" w:val="clear"/>
        </w:rPr>
        <w:t xml:space="preserve">и национальным проектом </w:t>
      </w:r>
      <w:r>
        <w:rPr>
          <w:rFonts w:ascii="Liberation Serif" w:hAnsi="Liberation Serif"/>
          <w:b w:val="false"/>
          <w:sz w:val="24"/>
          <w:shd w:fill="auto" w:val="clear"/>
        </w:rPr>
        <w:t>Малое и среднее предпринимательство и поддержка индивидуальной предпринимательской инициативы».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>Число субъектов малого и среднего предпринимательства (МСП) в расчете на 10 тыс. человек населения определено по данным управления Федеральной службы государственной статистики по Свердловской области и Курганской области по итогам сплошного статистического наблюдения за деятельностью субъектов МСП 2020 года, без учета самозанятых граждан . В 2025 году показатель составил 170,7, в 2026-2028 годах- 202,0 субъектов МСП на 10 тысяч населения Малышевского муниципального округа.</w:t>
      </w:r>
    </w:p>
    <w:p>
      <w:pPr>
        <w:pStyle w:val="ConsPlusNormal1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>В настоящее время в Малышевском муниципальном округе сложился устойчивый сектор малого и среднего предпринимательства.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По данным Единого Реестра субъектов малого и среднего предпринимательства, по состоянию на 1 января 2026 года в округе осуществляют деятельность 189 субъекта малого и среднего предпринимательства. Из них микропредприятия - 185 единицы, 4 малых предприятий. (По состоянию на 1 января 2025 года в едином реестре субъектов МСП было зарегистрировано 250 субъектов МСП).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Отраслевая структура субъектов МСП по данным Единого реестра малого и среднего предпринимательства по состоянию на 01.01.2026 года (% от общего числа субъектов МСП):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оптовая и розничная торговля - 32,3 %;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транспортировка и хранение - 17,5 %;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строительство - 6,9 %;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услуги - 5,6 %;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обрабатывающие производства и добыча полезных ископаемых - 13,2 %;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финансы и операции с недвижимым имуществом - 3,2 %;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прочие услуги - 6,7 %,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профессиональная, научная и техническая деятельность - 0,6 %;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информатизация, связь - 1,2 %;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прочие направления деятельности - 12,8 %.</w:t>
      </w:r>
    </w:p>
    <w:p>
      <w:pPr>
        <w:pStyle w:val="Normal"/>
        <w:ind w:firstLine="709"/>
        <w:rPr>
          <w:rFonts w:ascii="Liberation Serif" w:hAnsi="Liberation Serif" w:cs="Liberation Serif"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В 2025 году на территории Свердловской области продолжил действовать налог на профессиональный доход - специальный налоговый режим для самозанятых граждан. За 2025 год статус самозанятого гражданина получили 1026 жителя Малышевского муниципального округа </w:t>
      </w:r>
    </w:p>
    <w:p>
      <w:pPr>
        <w:pStyle w:val="Normal"/>
        <w:ind w:hanging="0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(2024 год - 754 человека, 2023 год - 480 человек). </w:t>
      </w:r>
    </w:p>
    <w:p>
      <w:pPr>
        <w:pStyle w:val="Normal"/>
        <w:ind w:firstLine="709"/>
        <w:rPr>
          <w:rFonts w:ascii="Liberation Serif" w:hAnsi="Liberation Serif" w:cs="Liberation Serif"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</w:r>
    </w:p>
    <w:tbl>
      <w:tblPr>
        <w:tblW w:w="968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60"/>
        <w:gridCol w:w="1265"/>
        <w:gridCol w:w="1130"/>
        <w:gridCol w:w="1207"/>
        <w:gridCol w:w="1041"/>
        <w:gridCol w:w="912"/>
        <w:gridCol w:w="1068"/>
      </w:tblGrid>
      <w:tr>
        <w:trPr/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2"/>
                <w:szCs w:val="22"/>
                <w:shd w:fill="auto" w:val="clear"/>
              </w:rPr>
              <w:t>Наименование показателя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96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2022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bCs/>
                <w:sz w:val="20"/>
                <w:szCs w:val="20"/>
                <w:shd w:fill="auto" w:val="clear"/>
              </w:rPr>
              <w:t>2025</w:t>
            </w:r>
          </w:p>
        </w:tc>
      </w:tr>
      <w:tr>
        <w:trPr/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Количество зарегистрированных субъектов МСП/самозанятых граждан, единиц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229/103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218/207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221/343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229/480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252/754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Liberation Serif;Times New Roman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cs="Liberation Serif;Times New Roman" w:ascii="Liberation Serif" w:hAnsi="Liberation Serif"/>
                <w:color w:val="000000"/>
                <w:sz w:val="20"/>
                <w:szCs w:val="20"/>
                <w:shd w:fill="FFFFFF" w:val="clear"/>
              </w:rPr>
              <w:t>213/1026</w:t>
            </w:r>
          </w:p>
        </w:tc>
      </w:tr>
    </w:tbl>
    <w:p>
      <w:pPr>
        <w:pStyle w:val="Normal"/>
        <w:ind w:firstLine="709"/>
        <w:rPr>
          <w:rFonts w:ascii="Liberation Serif" w:hAnsi="Liberation Serif" w:cs="Liberation Serif"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В целях поддержки развития малого и среднего предпринимательства Малышевского округа принята муниципальная программа «Развитие малого и среднего предпринимательства в Малышевском муниципальном округе до 2027 года».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На реализацию муниципальной программы в 2025 году в местном бюджете предусмотрено 120,0 тыс. рублей на проведение трех образовательных мероприятий: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- семинар «Профессия жизни-любимое дело»,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- бизнес-игра «Финансовый поток»,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- онлайн-семинар «Цифровые сервисы для бизнеса».</w:t>
      </w:r>
    </w:p>
    <w:p>
      <w:pPr>
        <w:pStyle w:val="Normal"/>
        <w:ind w:firstLine="709"/>
        <w:rPr>
          <w:rFonts w:ascii="Liberation Serif" w:hAnsi="Liberation Serif" w:cs="Liberation Serif"/>
          <w:color w:val="000000"/>
          <w:highlight w:val="yellow"/>
        </w:rPr>
      </w:pPr>
      <w:r>
        <w:rPr>
          <w:rFonts w:cs="Liberation Serif" w:ascii="Liberation Serif" w:hAnsi="Liberation Serif"/>
          <w:color w:val="000000"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Данные образовательные мероприятия организованы администрацией Малышевского округа совместно с Рефтинским муниципальным фондом поддержки малого и среднего предпринимательства. В образовательных мероприятиях приняло участие 131 человек (2023 год - 37 человек).</w:t>
      </w:r>
    </w:p>
    <w:p>
      <w:pPr>
        <w:pStyle w:val="Normal"/>
        <w:ind w:firstLine="709"/>
        <w:rPr>
          <w:rFonts w:ascii="Liberation Serif" w:hAnsi="Liberation Serif" w:cs="Liberation Serif"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</w:r>
    </w:p>
    <w:tbl>
      <w:tblPr>
        <w:tblW w:w="1008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98"/>
        <w:gridCol w:w="1129"/>
        <w:gridCol w:w="1201"/>
        <w:gridCol w:w="1248"/>
        <w:gridCol w:w="1187"/>
        <w:gridCol w:w="1128"/>
        <w:gridCol w:w="1188"/>
      </w:tblGrid>
      <w:tr>
        <w:trPr/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0"/>
                <w:szCs w:val="20"/>
                <w:shd w:fill="auto" w:val="clear"/>
              </w:rPr>
              <w:t xml:space="preserve">Наименование показателя 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0"/>
                <w:szCs w:val="20"/>
                <w:shd w:fill="auto" w:val="clear"/>
              </w:rPr>
              <w:t>2024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</w:rPr>
              <w:t>2025</w:t>
            </w:r>
          </w:p>
        </w:tc>
      </w:tr>
      <w:tr>
        <w:trPr>
          <w:trHeight w:val="1198" w:hRule="atLeast"/>
        </w:trPr>
        <w:tc>
          <w:tcPr>
            <w:tcW w:w="2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Исполнение муниципальной программы «Развитие малого и среднего предпринимательства в Малышевском муниципальном округе до 2027 года»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104,0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106,0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107,0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108,0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0"/>
                <w:szCs w:val="20"/>
                <w:shd w:fill="auto" w:val="clear"/>
              </w:rPr>
              <w:t>110,0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sz w:val="20"/>
                <w:szCs w:val="20"/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111,0</w:t>
            </w:r>
          </w:p>
        </w:tc>
      </w:tr>
    </w:tbl>
    <w:p>
      <w:pPr>
        <w:pStyle w:val="Normal"/>
        <w:ind w:firstLine="709"/>
        <w:rPr>
          <w:rFonts w:ascii="Liberation Serif" w:hAnsi="Liberation Serif" w:cs="Liberation Serif"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В целях информационной поддержки субъектов малого и среднего предпринимательства на официальном сайте администрации Малышевского округа созданы разделы «Малое и среднее предпринимательство», «Антикризисные меры», которые пополнялся в еженедельном режиме, а также по мере поступления актуальной информации. В 2025 году вступил в действие стандарт деятельности органов местного самоуправления муниципальных образований, расположенных на территории Свердловской области, по улучшению инвестиционного климата в муниципальных образованиях, расположенных на территории Свердловской области (версия 3.0</w:t>
      </w:r>
      <w:r>
        <w:rPr>
          <w:rFonts w:cs="Liberation Serif" w:ascii="Liberation Serif" w:hAnsi="Liberation Serif"/>
          <w:b/>
          <w:color w:val="000000"/>
          <w:shd w:fill="auto" w:val="clear"/>
        </w:rPr>
        <w:t>)</w:t>
      </w:r>
      <w:r>
        <w:rPr>
          <w:rFonts w:cs="Liberation Serif" w:ascii="Liberation Serif" w:hAnsi="Liberation Serif"/>
          <w:color w:val="000000"/>
          <w:shd w:fill="auto" w:val="clear"/>
        </w:rPr>
        <w:t xml:space="preserve">. По рекомендациям стандарта актуализированы разделы официального сайта администрации Малышевского округа, сайт дополнен виджетами - переход на необходимые для субъектов МСП информационные ресурсы. Также по мере поступления актуальной информации, разделы на сайте активно пополняются. 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В разделе «Имущественная поддержка малого и среднего предпринимательства» размещена информация по вопросу имущественной поддержки субъектов МСП, опубликован перечень муниципального имущества Малышевского округа.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Решением Думы Малышевского муниципального округа </w:t>
      </w:r>
      <w:r>
        <w:rPr>
          <w:rFonts w:cs="Liberation Serif" w:ascii="Liberation Serif" w:hAnsi="Liberation Serif"/>
          <w:color w:val="000000"/>
          <w:shd w:fill="auto" w:val="clear"/>
          <w:lang w:val="en-US"/>
        </w:rPr>
        <w:t>VII</w:t>
      </w:r>
      <w:r>
        <w:rPr>
          <w:rFonts w:cs="Liberation Serif" w:ascii="Liberation Serif" w:hAnsi="Liberation Serif"/>
          <w:color w:val="000000"/>
          <w:shd w:fill="auto" w:val="clear"/>
        </w:rPr>
        <w:t xml:space="preserve"> созыва от 24.06.2021 № 284 актуализирован «Порядок формирования, ведения, обязательного опубликования перечня муниципального имущества Малышевского муниципального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Порядок и условия предоставления в аренду включенного в перечень муниципального имущества».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 xml:space="preserve">В 2025 году в перечень муниципального имущества, предназначенного для оказания имущественной поддержки, включено 9 объектов (1 нежилое помещение, 6 земельных участков, 2 здания (складских помещения, здание химводоочистки).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2 объекта предоставлены в аренду субъектам предпринимательской деятельности, 1 объект -плательщику налога на профессиональный доход.</w:t>
      </w:r>
    </w:p>
    <w:p>
      <w:pPr>
        <w:pStyle w:val="Normal"/>
        <w:ind w:firstLine="709"/>
        <w:rPr>
          <w:rFonts w:ascii="Liberation Serif" w:hAnsi="Liberation Serif" w:cs="Liberation Serif"/>
          <w:color w:val="000000"/>
        </w:rPr>
      </w:pPr>
      <w:r>
        <w:rPr>
          <w:rFonts w:cs="Liberation Serif" w:ascii="Liberation Serif" w:hAnsi="Liberation Serif"/>
          <w:color w:val="000000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iCs/>
          <w:sz w:val="24"/>
          <w:shd w:fill="auto" w:val="clear"/>
        </w:rPr>
        <w:t>2. Доля среднесписочной численности работников (без внешних совместителей) малых и средних предприятий в среднесписочной численности работников всех предприятий и организаций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iCs/>
          <w:sz w:val="24"/>
          <w:shd w:fill="auto" w:val="clear"/>
        </w:rPr>
        <w:t>Показатель рассчитан на основании методики, предоставленной Министерством экономики и территориального развития Свердловской области.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iCs/>
          <w:sz w:val="24"/>
          <w:shd w:fill="auto" w:val="clear"/>
        </w:rPr>
        <w:t xml:space="preserve">Доля среднесписочной численности работников (без внешних совместителей) малых и средних предприятий в среднесписочной численности работников всех предприятий и организаций рассчитана на основании данных, предоставленных Свердловскстатом, </w:t>
      </w:r>
      <w:r>
        <w:rPr>
          <w:rFonts w:ascii="Liberation Serif" w:hAnsi="Liberation Serif"/>
          <w:b w:val="false"/>
          <w:sz w:val="24"/>
          <w:shd w:fill="auto" w:val="clear"/>
        </w:rPr>
        <w:t>по итогам сплошного статистического наблюдения за деятельностью субъектов МСП 2020 года, без учета самозанятых граждан. В 2025 году-14,3 процента, в 2026-2028 годах-19 процентов.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 Объем инвестиций в основной капитал (за исключением бюджетных средств) в расчете на 1 жителя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ind w:firstLine="709"/>
        <w:rPr>
          <w:rFonts w:ascii="Liberation Serif" w:hAnsi="Liberation Serif" w:eastAsia="Calibri"/>
          <w:color w:val="000000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false"/>
          <w:sz w:val="24"/>
          <w:shd w:fill="auto" w:val="clear"/>
        </w:rPr>
        <w:t>Объем инвестиций</w:t>
      </w:r>
      <w:r>
        <w:rPr>
          <w:rFonts w:ascii="Liberation Serif" w:hAnsi="Liberation Serif"/>
          <w:sz w:val="24"/>
          <w:shd w:fill="auto" w:val="clear"/>
        </w:rPr>
        <w:t xml:space="preserve"> </w:t>
      </w:r>
      <w:r>
        <w:rPr>
          <w:rFonts w:ascii="Liberation Serif" w:hAnsi="Liberation Serif"/>
          <w:b w:val="false"/>
          <w:sz w:val="24"/>
          <w:shd w:fill="auto" w:val="clear"/>
        </w:rPr>
        <w:t>основной капитал (за исключением бюджетных средств) в расчете на 1 жителя</w:t>
      </w:r>
      <w:r>
        <w:rPr>
          <w:rFonts w:ascii="Liberation Serif" w:hAnsi="Liberation Serif"/>
          <w:sz w:val="24"/>
          <w:shd w:fill="auto" w:val="clear"/>
        </w:rPr>
        <w:t xml:space="preserve"> </w:t>
      </w:r>
      <w:r>
        <w:rPr>
          <w:rFonts w:ascii="Liberation Serif" w:hAnsi="Liberation Serif"/>
          <w:b w:val="false"/>
          <w:sz w:val="24"/>
          <w:shd w:fill="auto" w:val="clear"/>
        </w:rPr>
        <w:t>по данным управления Федеральной службы государственной  статистики по Свердловской области и Курганской области ежегодно увеличивается,  2021 году -4009,00 рублей, 2022 год-12964,00 рублей, 2023 год-18630,00 рублей, 2024 год-16581 рубль, 2025 год-18435,22 рублей. По данным производственного предприятия АО «Малышевское рудоуправление» капитальные вложения в истекшем году направлялись на расширение производственной базы, модернизацию производства, установку нового оборудования</w:t>
      </w:r>
      <w:r>
        <w:rPr>
          <w:rFonts w:ascii="Liberation Serif" w:hAnsi="Liberation Serif"/>
          <w:b w:val="false"/>
          <w:sz w:val="24"/>
        </w:rPr>
        <w:t>.</w:t>
      </w:r>
      <w:r>
        <w:rPr>
          <w:rFonts w:eastAsia="Calibri" w:ascii="Liberation Serif" w:hAnsi="Liberation Serif"/>
          <w:color w:val="000000"/>
          <w:sz w:val="24"/>
        </w:rPr>
        <w:t xml:space="preserve">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eastAsia="Calibri" w:ascii="Liberation Serif" w:hAnsi="Liberation Serif"/>
          <w:color w:val="000000"/>
          <w:shd w:fill="auto" w:val="clear"/>
        </w:rPr>
        <w:t>В 202</w:t>
      </w:r>
      <w:r>
        <w:rPr>
          <w:rFonts w:eastAsia="Calibri" w:ascii="Liberation Serif" w:hAnsi="Liberation Serif"/>
          <w:bCs/>
          <w:color w:val="000000"/>
          <w:shd w:fill="auto" w:val="clear"/>
        </w:rPr>
        <w:t>5</w:t>
      </w:r>
      <w:r>
        <w:rPr>
          <w:rFonts w:eastAsia="Calibri" w:ascii="Liberation Serif" w:hAnsi="Liberation Serif"/>
          <w:color w:val="000000"/>
          <w:shd w:fill="auto" w:val="clear"/>
        </w:rPr>
        <w:t xml:space="preserve"> году</w:t>
      </w:r>
      <w:r>
        <w:rPr>
          <w:rFonts w:cs="Liberation Serif" w:ascii="Liberation Serif" w:hAnsi="Liberation Serif"/>
          <w:color w:val="000000"/>
          <w:shd w:fill="auto" w:val="clear"/>
        </w:rPr>
        <w:t xml:space="preserve"> </w:t>
      </w:r>
      <w:r>
        <w:rPr>
          <w:rFonts w:eastAsia="Calibri" w:ascii="Liberation Serif" w:hAnsi="Liberation Serif"/>
          <w:color w:val="000000"/>
          <w:shd w:fill="auto" w:val="clear"/>
        </w:rPr>
        <w:t xml:space="preserve">АО «Мариинский прииск» </w:t>
      </w:r>
      <w:r>
        <w:rPr>
          <w:rFonts w:cs="Liberation Serif" w:ascii="Liberation Serif" w:hAnsi="Liberation Serif"/>
          <w:shd w:fill="auto" w:val="clear"/>
        </w:rPr>
        <w:t>в целях реализации инвестиционного проекта разработан технологический регламент «Разработка технологии обогащения и технологического регламента на переработку бериллийсодержащих отходов обогащения руд Малышевского месторождения».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На период 2026-2028 годы планируется постепенное увеличение объема инвестиций в основной капитал за исключением бюджетных средств) в расчете на 1 жителя: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2026-19172,62 рублей;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2027 год -19939,53,00 рублей;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2028  год-20737,11 рублей.</w:t>
      </w:r>
    </w:p>
    <w:p>
      <w:pPr>
        <w:pStyle w:val="Normal"/>
        <w:tabs>
          <w:tab w:val="clear" w:pos="708"/>
          <w:tab w:val="left" w:pos="6215" w:leader="none"/>
        </w:tabs>
        <w:ind w:firstLine="851"/>
        <w:rPr>
          <w:rFonts w:eastAsia="" w:eastAsiaTheme="minorEastAsia"/>
          <w:highlight w:val="none"/>
          <w:shd w:fill="auto" w:val="clear"/>
        </w:rPr>
      </w:pPr>
      <w:bookmarkStart w:id="1" w:name="_Hlk196395096"/>
      <w:bookmarkEnd w:id="1"/>
      <w:r>
        <w:rPr>
          <w:rFonts w:eastAsia="" w:cs="Liberation Serif" w:ascii="Liberation Serif" w:hAnsi="Liberation Serif" w:eastAsiaTheme="minorEastAsia"/>
          <w:shd w:fill="auto" w:val="clear"/>
        </w:rPr>
        <w:t>Повышение инвестиционной привлекательности территории, создание благоприятных условий для экономического развития, как и прежде, является одной из важнейших задач Малышевского округа.</w:t>
      </w:r>
    </w:p>
    <w:p>
      <w:pPr>
        <w:pStyle w:val="Normal"/>
        <w:tabs>
          <w:tab w:val="clear" w:pos="708"/>
          <w:tab w:val="left" w:pos="6215" w:leader="none"/>
        </w:tabs>
        <w:ind w:firstLine="709"/>
        <w:rPr>
          <w:highlight w:val="none"/>
          <w:shd w:fill="auto" w:val="clear"/>
        </w:rPr>
      </w:pPr>
      <w:r>
        <w:rPr>
          <w:rFonts w:eastAsia="Calibri" w:cs="Liberation Serif" w:ascii="Liberation Serif" w:hAnsi="Liberation Serif"/>
          <w:shd w:fill="auto" w:val="clear"/>
          <w:lang w:eastAsia="en-US"/>
        </w:rPr>
        <w:t>В целях реализации инвестиционного стандарта постановлением главы Малышевского муниципального округа от 09.03.2023 года № 110-ПГ "О назначении инвестиционного уполномоченного в Малышевском городском округе" назначен инвестиционный уполномоченный на территории Малышевского муниципального округа в лице заместителя главы Малышевского муниципального округа по экономике и развитию территории. Постановлением главы Малышевского муниципального округа от 27.12.2020 года № 675-ПГ актуализировано положение об инвестиционном уполномоченном Малышевского муниципального округа.</w:t>
      </w:r>
    </w:p>
    <w:p>
      <w:pPr>
        <w:pStyle w:val="Normal"/>
        <w:tabs>
          <w:tab w:val="clear" w:pos="708"/>
          <w:tab w:val="left" w:pos="6215" w:leader="none"/>
        </w:tabs>
        <w:ind w:firstLine="709"/>
        <w:rPr>
          <w:rFonts w:ascii="Liberation Serif" w:hAnsi="Liberation Serif" w:eastAsia="Calibri" w:cs="Liberation Serif"/>
          <w:highlight w:val="yellow"/>
          <w:lang w:eastAsia="en-US"/>
        </w:rPr>
      </w:pPr>
      <w:r>
        <w:rPr>
          <w:rFonts w:eastAsia="Calibri" w:cs="Liberation Serif" w:ascii="Liberation Serif" w:hAnsi="Liberation Serif"/>
          <w:shd w:fill="auto" w:val="clear"/>
          <w:lang w:eastAsia="en-US"/>
        </w:rPr>
        <w:t xml:space="preserve">Работа инвестиционного уполномоченного в 2025 году велась согласно Плану работы инвестиционного уполномоченного Малышевского муниципального округа на 2025-2027 годы, утвержденного постановлением главы Малышевского муниципального округа </w:t>
      </w:r>
      <w:r>
        <w:rPr>
          <w:rFonts w:eastAsia="Calibri" w:cs="Liberation Serif" w:ascii="Liberation Serif" w:hAnsi="Liberation Serif"/>
          <w:spacing w:val="3"/>
          <w:shd w:fill="auto" w:val="clear"/>
          <w:lang w:eastAsia="en-US"/>
        </w:rPr>
        <w:t>от  29,11,2024 г. №  813 - ПГ</w:t>
      </w:r>
      <w:r>
        <w:rPr>
          <w:rFonts w:eastAsia="Calibri" w:cs="Liberation Serif" w:ascii="Liberation Serif" w:hAnsi="Liberation Serif"/>
          <w:shd w:fill="auto" w:val="clear"/>
          <w:lang w:eastAsia="en-US"/>
        </w:rPr>
        <w:t xml:space="preserve">. </w:t>
      </w:r>
    </w:p>
    <w:p>
      <w:pPr>
        <w:pStyle w:val="Normal"/>
        <w:tabs>
          <w:tab w:val="clear" w:pos="708"/>
          <w:tab w:val="left" w:pos="6215" w:leader="none"/>
        </w:tabs>
        <w:ind w:firstLine="709"/>
        <w:rPr>
          <w:highlight w:val="none"/>
          <w:shd w:fill="auto" w:val="clear"/>
        </w:rPr>
      </w:pPr>
      <w:r>
        <w:rPr>
          <w:rFonts w:eastAsia="Calibri" w:cs="Liberation Serif" w:ascii="Liberation Serif" w:hAnsi="Liberation Serif"/>
          <w:shd w:fill="auto" w:val="clear"/>
          <w:lang w:eastAsia="en-US"/>
        </w:rPr>
        <w:t>Постановлением главы Малышевского муниципального округа от 24.02.2016 года № 99-ПГ утвержден регламент сопровождения инвестиционных проектов в Малышевском муниципальном округе, определяющий порядок взаимодействия инициаторов инвестиционных проектов с администрацией Малышевского муниципального округа, функциональными (отраслевыми) отделами администрации Малышевского муниципального округа, иными органами и организациями при подготовке и реализации инвестиционных проектов.</w:t>
      </w:r>
    </w:p>
    <w:p>
      <w:pPr>
        <w:pStyle w:val="Normal"/>
        <w:tabs>
          <w:tab w:val="clear" w:pos="708"/>
          <w:tab w:val="left" w:pos="6215" w:leader="none"/>
        </w:tabs>
        <w:ind w:firstLine="709"/>
        <w:rPr>
          <w:highlight w:val="none"/>
          <w:shd w:fill="auto" w:val="clear"/>
        </w:rPr>
      </w:pPr>
      <w:r>
        <w:rPr>
          <w:rFonts w:eastAsia="Calibri" w:cs="Liberation Serif" w:ascii="Liberation Serif" w:hAnsi="Liberation Serif"/>
          <w:shd w:fill="auto" w:val="clear"/>
          <w:lang w:eastAsia="en-US"/>
        </w:rPr>
        <w:t xml:space="preserve">В отношении правовых актов Малышевского муниципального округа, касающихся интересов субъектов предпринимательской и инвестиционной деятельности, осуществляется процедура оценки регулирующего воздействия. </w:t>
      </w:r>
    </w:p>
    <w:p>
      <w:pPr>
        <w:pStyle w:val="Normal"/>
        <w:tabs>
          <w:tab w:val="clear" w:pos="708"/>
          <w:tab w:val="left" w:pos="6215" w:leader="none"/>
        </w:tabs>
        <w:ind w:firstLine="709"/>
        <w:rPr>
          <w:highlight w:val="none"/>
          <w:shd w:fill="auto" w:val="clear"/>
        </w:rPr>
      </w:pPr>
      <w:r>
        <w:rPr>
          <w:rFonts w:eastAsia="Calibri" w:cs="Liberation Serif" w:ascii="Liberation Serif" w:hAnsi="Liberation Serif"/>
          <w:color w:val="000000"/>
          <w:shd w:fill="auto" w:val="clear"/>
          <w:lang w:eastAsia="en-US"/>
        </w:rPr>
        <w:t xml:space="preserve">Администрацией Малышевского муниципального округа заключено соглашение от 01 августа 2018 года </w:t>
      </w:r>
      <w:r>
        <w:rPr>
          <w:rFonts w:eastAsia="Calibri" w:cs="Liberation Serif" w:ascii="Liberation Serif" w:hAnsi="Liberation Serif"/>
          <w:bCs/>
          <w:shd w:fill="auto" w:val="clear"/>
          <w:lang w:eastAsia="en-US"/>
        </w:rPr>
        <w:t>о взаимодействии между администрацией Малышевского муниципалного округа и некоммерческой организацией «Рефтинский муниципальный фонд поддержки малого и среднего предпринимательства» при проведении оценки регулирующего воздействия муниципальных нормативных правовых актов в Малышевском муниципальном округе.</w:t>
      </w:r>
    </w:p>
    <w:p>
      <w:pPr>
        <w:pStyle w:val="Normal"/>
        <w:tabs>
          <w:tab w:val="clear" w:pos="708"/>
          <w:tab w:val="left" w:pos="6215" w:leader="none"/>
        </w:tabs>
        <w:ind w:firstLine="709"/>
        <w:rPr>
          <w:highlight w:val="none"/>
          <w:shd w:fill="auto" w:val="clear"/>
        </w:rPr>
      </w:pPr>
      <w:r>
        <w:rPr>
          <w:rFonts w:eastAsia="Calibri" w:cs="Liberation Serif" w:ascii="Liberation Serif" w:hAnsi="Liberation Serif"/>
          <w:bCs/>
          <w:shd w:fill="auto" w:val="clear"/>
          <w:lang w:eastAsia="en-US"/>
        </w:rPr>
        <w:t xml:space="preserve"> </w:t>
      </w:r>
      <w:r>
        <w:rPr>
          <w:rFonts w:cs="Liberation Serif" w:ascii="Liberation Serif" w:hAnsi="Liberation Serif"/>
          <w:color w:val="000000"/>
          <w:shd w:fill="auto" w:val="clear"/>
          <w:lang w:eastAsia="en-US"/>
        </w:rPr>
        <w:t>В целях популяризации института оценки регулирующего воздействия в предпринимательской среде администрацией Малышевского округа проведена работа по информированию субъектов МСП на образовательных мероприятиях в 2025 году.</w:t>
      </w:r>
    </w:p>
    <w:p>
      <w:pPr>
        <w:pStyle w:val="Normal"/>
        <w:spacing w:before="0" w:after="0"/>
        <w:ind w:right="0" w:firstLine="708"/>
        <w:contextualSpacing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 xml:space="preserve">Ежегодно Правительством Свердловской области проводится рейтинг состояния инвестиционного климата в муниципальных образованиях. </w:t>
      </w:r>
    </w:p>
    <w:p>
      <w:pPr>
        <w:pStyle w:val="Normal"/>
        <w:spacing w:before="0" w:after="0"/>
        <w:ind w:right="0" w:firstLine="708"/>
        <w:contextualSpacing/>
        <w:jc w:val="both"/>
        <w:rPr/>
      </w:pPr>
      <w:r>
        <w:rPr>
          <w:rFonts w:cs="Liberation Serif;Times New Roman" w:ascii="Liberation Serif;Times New Roman" w:hAnsi="Liberation Serif;Times New Roman"/>
          <w:color w:val="000000"/>
        </w:rPr>
        <w:t xml:space="preserve">В 2025 году округ занял </w:t>
      </w:r>
      <w:r>
        <w:rPr>
          <w:rFonts w:cs="Liberation Serif;Times New Roman" w:ascii="Liberation Serif;Times New Roman" w:hAnsi="Liberation Serif;Times New Roman"/>
          <w:color w:val="000000"/>
          <w:shd w:fill="FFFFFF" w:val="clear"/>
        </w:rPr>
        <w:t>30</w:t>
      </w:r>
      <w:r>
        <w:rPr>
          <w:rFonts w:cs="Liberation Serif;Times New Roman" w:ascii="Liberation Serif;Times New Roman" w:hAnsi="Liberation Serif;Times New Roman"/>
          <w:color w:val="000000"/>
        </w:rPr>
        <w:t xml:space="preserve"> место в рейтинге (2024 год - 27 место). В 2025 году разработан инвестиционный профиль муниципального образования, включающий в себя визуализированную информацию о муниципальном округе с применением ссылок на различные полезные для субъектов предпринимательской деятельности ресурсы.</w:t>
      </w:r>
    </w:p>
    <w:p>
      <w:pPr>
        <w:pStyle w:val="Normal"/>
        <w:spacing w:before="0" w:after="0"/>
        <w:ind w:right="0" w:firstLine="708"/>
        <w:contextualSpacing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В 2025 году на территории Малышевского муниципаьного округа реализовывалось 3 национальных (региональных) проекта (в 2024 году реализовано 4 национальных (региональных) проекта):</w:t>
      </w:r>
    </w:p>
    <w:p>
      <w:pPr>
        <w:pStyle w:val="Normal"/>
        <w:ind w:right="0" w:firstLine="709"/>
        <w:jc w:val="both"/>
        <w:rPr/>
      </w:pPr>
      <w:r>
        <w:rPr>
          <w:rFonts w:cs="Liberation Serif;Times New Roman" w:ascii="Liberation Serif;Times New Roman" w:hAnsi="Liberation Serif;Times New Roman"/>
        </w:rPr>
        <w:t xml:space="preserve">- национальный проект «Молодежь и дети» федеральный проект «Педагоги и наставники» (мероприятия: </w:t>
      </w:r>
      <w:r>
        <w:rPr>
          <w:rFonts w:cs="Liberation Serif;Times New Roman" w:ascii="Liberation Serif;Times New Roman" w:hAnsi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на условиях софинансирования из федерального бюджета)</w:t>
      </w:r>
      <w:r>
        <w:rPr>
          <w:rFonts w:cs="Liberation Serif;Times New Roman" w:ascii="Liberation Serif;Times New Roman" w:hAnsi="Liberation Serif;Times New Roman"/>
        </w:rPr>
        <w:t>;</w:t>
      </w:r>
    </w:p>
    <w:p>
      <w:pPr>
        <w:pStyle w:val="Normal"/>
        <w:ind w:right="0" w:firstLine="709"/>
        <w:jc w:val="both"/>
        <w:rPr/>
      </w:pPr>
      <w:bookmarkStart w:id="2" w:name="_Hlk141965412_Копия_1"/>
      <w:r>
        <w:rPr>
          <w:rFonts w:cs="Liberation Serif;Times New Roman" w:ascii="Liberation Serif;Times New Roman" w:hAnsi="Liberation Serif;Times New Roman"/>
        </w:rPr>
        <w:t>-</w:t>
      </w:r>
      <w:bookmarkEnd w:id="2"/>
      <w:r>
        <w:rPr>
          <w:rFonts w:cs="Liberation Serif;Times New Roman" w:ascii="Liberation Serif;Times New Roman" w:hAnsi="Liberation Serif;Times New Roman"/>
        </w:rPr>
        <w:t xml:space="preserve"> национальный проект 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«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Инфоструктура для жизни» ф</w:t>
      </w:r>
      <w:r>
        <w:rPr>
          <w:rFonts w:cs="Liberation Serif;Times New Roman" w:ascii="Liberation Serif;Times New Roman" w:hAnsi="Liberation Serif;Times New Roman"/>
        </w:rPr>
        <w:t xml:space="preserve">едеральный проект </w:t>
      </w:r>
      <w:r>
        <w:rPr>
          <w:rFonts w:cs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«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Жилье» </w:t>
      </w:r>
      <w:r>
        <w:rPr>
          <w:rFonts w:cs="Liberation Serif;Times New Roman" w:ascii="Liberation Serif;Times New Roman" w:hAnsi="Liberation Serif;Times New Roman"/>
        </w:rPr>
        <w:t xml:space="preserve">(мероприятие: </w:t>
      </w:r>
      <w:r>
        <w:rPr>
          <w:rFonts w:cs="Liberation Serif;Times New Roman" w:ascii="Liberation Serif;Times New Roman" w:hAnsi="Liberation Serif;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Соглашение о выкупе жилого помещения с  выплатой стоимости выкупной цены);</w:t>
      </w:r>
    </w:p>
    <w:p>
      <w:pPr>
        <w:pStyle w:val="Normal"/>
        <w:ind w:right="0" w:firstLine="709"/>
        <w:jc w:val="both"/>
        <w:rPr>
          <w:rFonts w:eastAsia="" w:eastAsiaTheme="minorEastAsia"/>
          <w:highlight w:val="none"/>
          <w:shd w:fill="auto" w:val="clear"/>
        </w:rPr>
      </w:pPr>
      <w:r>
        <w:rPr>
          <w:rFonts w:eastAsia="" w:cs="Liberation Serif;Times New Roman" w:ascii="Liberation Serif;Times New Roman" w:hAnsi="Liberation Serif;Times New Roman" w:eastAsiaTheme="minorEastAsia"/>
          <w:bCs/>
          <w:shd w:fill="auto" w:val="clear"/>
          <w:lang w:eastAsia="en-US"/>
        </w:rPr>
        <w:t xml:space="preserve">- национальный проект </w:t>
      </w:r>
      <w:r>
        <w:rPr>
          <w:rFonts w:eastAsia="" w:cs="Liberation Serif;Times New Roman" w:ascii="Liberation Serif" w:hAnsi="Liberation Serif" w:eastAsiaTheme="minorEastAsia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shd w:fill="auto" w:val="clear"/>
          <w:em w:val="none"/>
          <w:lang w:eastAsia="en-US"/>
        </w:rPr>
        <w:t>«Инфоструктура для жизни» ф</w:t>
      </w:r>
      <w:r>
        <w:rPr>
          <w:rFonts w:eastAsia="" w:cs="Liberation Serif;Times New Roman" w:ascii="Liberation Serif;Times New Roman" w:hAnsi="Liberation Serif;Times New Roman" w:eastAsiaTheme="minorEastAsia"/>
          <w:bCs/>
          <w:shd w:fill="auto" w:val="clear"/>
          <w:lang w:eastAsia="en-US"/>
        </w:rPr>
        <w:t xml:space="preserve">едеральный проект </w:t>
      </w:r>
      <w:r>
        <w:rPr>
          <w:rFonts w:eastAsia="" w:cs="Liberation Serif;Times New Roman" w:ascii="Liberation Serif" w:hAnsi="Liberation Serif" w:eastAsiaTheme="minorEastAsia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shd w:fill="auto" w:val="clear"/>
          <w:em w:val="none"/>
          <w:lang w:eastAsia="en-US"/>
        </w:rPr>
        <w:t>«</w:t>
      </w:r>
      <w:r>
        <w:rPr>
          <w:rFonts w:eastAsia="" w:cs="Liberation Serif;Times New Roman" w:ascii="Liberation Serif;Times New Roman" w:hAnsi="Liberation Serif;Times New Roman" w:eastAsiaTheme="minorEastAsia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shd w:fill="auto" w:val="clear"/>
          <w:em w:val="none"/>
          <w:lang w:eastAsia="en-US"/>
        </w:rPr>
        <w:t>Формирование комфортной городской среды</w:t>
      </w:r>
      <w:r>
        <w:rPr>
          <w:rFonts w:eastAsia="" w:cs="Liberation Serif;Times New Roman" w:ascii="Liberation Serif" w:hAnsi="Liberation Serif" w:eastAsiaTheme="minorEastAsia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shd w:fill="auto" w:val="clear"/>
          <w:em w:val="none"/>
          <w:lang w:eastAsia="en-US"/>
        </w:rPr>
        <w:t xml:space="preserve">» </w:t>
      </w:r>
      <w:r>
        <w:rPr>
          <w:rFonts w:eastAsia="" w:cs="Liberation Serif;Times New Roman" w:ascii="Liberation Serif;Times New Roman" w:hAnsi="Liberation Serif;Times New Roman" w:eastAsiaTheme="minorEastAsia"/>
          <w:bCs/>
          <w:shd w:fill="auto" w:val="clear"/>
          <w:lang w:eastAsia="en-US"/>
        </w:rPr>
        <w:t xml:space="preserve"> (мероприятие: </w:t>
      </w:r>
      <w:r>
        <w:rPr>
          <w:rFonts w:eastAsia="" w:cs="Liberation Serif;Times New Roman" w:ascii="Liberation Serif;Times New Roman" w:hAnsi="Liberation Serif;Times New Roman" w:eastAsiaTheme="minorEastAsia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shd w:fill="auto" w:val="clear"/>
          <w:em w:val="none"/>
          <w:lang w:eastAsia="en-US"/>
        </w:rPr>
        <w:t>Комплексное благоустройство общественной территории по адресу: пгт. Малышева, ул. Свободы</w:t>
      </w:r>
      <w:r>
        <w:rPr>
          <w:rFonts w:eastAsia="" w:cs="Liberation Serif;Times New Roman" w:ascii="Liberation Serif;Times New Roman" w:hAnsi="Liberation Serif;Times New Roman" w:eastAsiaTheme="minorEastAsia"/>
          <w:bCs/>
          <w:shd w:fill="auto" w:val="clear"/>
          <w:lang w:eastAsia="en-US"/>
        </w:rPr>
        <w:t>).</w:t>
      </w:r>
    </w:p>
    <w:p>
      <w:pPr>
        <w:pStyle w:val="Normal"/>
        <w:tabs>
          <w:tab w:val="clear" w:pos="708"/>
          <w:tab w:val="left" w:pos="6215" w:leader="none"/>
        </w:tabs>
        <w:spacing w:before="0" w:after="0"/>
        <w:ind w:firstLine="709"/>
        <w:contextualSpacing/>
        <w:rPr>
          <w:rFonts w:ascii="Liberation Serif" w:hAnsi="Liberation Serif" w:eastAsia="" w:cs="Liberation Serif" w:eastAsiaTheme="minorEastAsia"/>
          <w:highlight w:val="none"/>
          <w:shd w:fill="auto" w:val="clear"/>
        </w:rPr>
      </w:pPr>
      <w:r>
        <w:rPr>
          <w:rFonts w:eastAsia="" w:cs="Liberation Serif" w:eastAsiaTheme="minorEastAsia" w:ascii="Liberation Serif" w:hAnsi="Liberation Serif"/>
          <w:shd w:fill="auto" w:val="clear"/>
        </w:rPr>
      </w:r>
      <w:bookmarkStart w:id="3" w:name="_Hlk1963950961"/>
      <w:bookmarkStart w:id="4" w:name="_Hlk1963950961"/>
      <w:bookmarkEnd w:id="4"/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 xml:space="preserve">4. </w:t>
      </w:r>
      <w:r>
        <w:rPr>
          <w:rFonts w:ascii="Liberation Serif" w:hAnsi="Liberation Serif"/>
          <w:b/>
          <w:iCs/>
          <w:shd w:fill="auto" w:val="clear"/>
        </w:rPr>
        <w:t>Доля площади земельных участков, являющихся объектами налогообложения земельным налогом, в общей площади территории муниципального округа (муниципального района).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Согласно Налогового кодекса Российской Федерации не признаются объектами налогообложения: земли общего пользования; земли лесного фонда; земли, занятые водными объектами; земли, предоставленные для обеспечения обороны, безопасности и таможенных нужд; земли, предоставленные во владение и пользование на основании договоров аренды. Поэтому при определении площади земельных участков, являющихся объектами налогообложения земельным налогом, указанные земли не учитываются.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В расчете доли земельных участков за 2025-2028 годы использовались исходные данные о площади земельных участков, являющихся объектом налогообложения и общей площади территории Малышевского муниципального округа.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bCs w:val="false"/>
          <w:sz w:val="24"/>
          <w:highlight w:val="yellow"/>
        </w:rPr>
      </w:pPr>
      <w:r>
        <w:rPr>
          <w:rFonts w:ascii="Liberation Serif" w:hAnsi="Liberation Serif"/>
          <w:b w:val="false"/>
          <w:bCs w:val="false"/>
          <w:sz w:val="24"/>
          <w:highlight w:val="yellow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Расчет на отчетный и плановый период производился по формуле: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bCs w:val="false"/>
          <w:sz w:val="24"/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где: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bCs w:val="false"/>
          <w:sz w:val="24"/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Sн - площадь земельных участков, являющихся объектами налогообложения земельным налогом (га);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S   общая площадь территории городского округа, подлежащая налогообложению в соответствии с действующим законодательством (га).</w:t>
      </w:r>
    </w:p>
    <w:p>
      <w:pPr>
        <w:pStyle w:val="BodyTextIndent2"/>
        <w:ind w:firstLine="709"/>
        <w:rPr/>
      </w:pPr>
      <w:r>
        <w:rPr/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2025 год 1456/3500 х 100% = 41,6%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2026 год 1463/3500 х 100% = 41,8%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 xml:space="preserve">2027 год 1470/3500 х 100% = 42,0% 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2028 год 1529/3500 х 100% = 43,68%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bCs w:val="false"/>
          <w:sz w:val="24"/>
          <w:highlight w:val="yellow"/>
        </w:rPr>
      </w:pPr>
      <w:r>
        <w:rPr>
          <w:rFonts w:ascii="Liberation Serif" w:hAnsi="Liberation Serif"/>
          <w:b w:val="false"/>
          <w:bCs w:val="false"/>
          <w:sz w:val="24"/>
          <w:highlight w:val="yellow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 xml:space="preserve">Рост значения показателя связан с увеличением площади земельных участков, являющихся объектами налогообложения земельным налогом. 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Выполняемые мероприятия: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- в ходе работы мобильных групп выявленные самовольно занятые земельные участки оформляются собственниками объектов;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- земельные участки, находящиеся в аренде, переоформляются в собственность, после чего они становятся объектом налогообложения.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- в соответствии со ст. 19 Федерального закона № 218-ФЗ от 13.07.2015г. «О государственной регистрации недвижимости» Отделом по неучтенным земельным участкам и объектам недвижимости подаются документы на регистрацию права в Едином государственном реестре недвижимости, возникшего на основании акта органа местного самоуправления.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bCs w:val="false"/>
          <w:sz w:val="24"/>
        </w:rPr>
      </w:pPr>
      <w:r>
        <w:rPr>
          <w:rFonts w:ascii="Liberation Serif" w:hAnsi="Liberation Serif"/>
          <w:b w:val="false"/>
          <w:bCs w:val="false"/>
          <w:sz w:val="24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5. Доля прибыльных сельскохозяйственных организаций в общем их числе составляет</w:t>
      </w:r>
      <w:r>
        <w:rPr>
          <w:rFonts w:ascii="Liberation Serif" w:hAnsi="Liberation Serif"/>
          <w:b w:val="false"/>
          <w:sz w:val="24"/>
          <w:shd w:fill="auto" w:val="clear"/>
        </w:rPr>
        <w:t xml:space="preserve"> 0 процентов</w:t>
      </w:r>
      <w:r>
        <w:rPr>
          <w:rFonts w:ascii="Liberation Serif" w:hAnsi="Liberation Serif"/>
          <w:sz w:val="24"/>
          <w:shd w:fill="auto" w:val="clear"/>
        </w:rPr>
        <w:t>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>На территории Малышевского муниципального округа отсутствуют земли сельскохозяйственного назначения.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bCs w:val="false"/>
          <w:sz w:val="24"/>
          <w:shd w:fill="auto" w:val="clear"/>
        </w:rPr>
        <w:t xml:space="preserve">По виду экономической деятельности «Сельское хозяйство, охота и рыболовство» в Малышевском муниципальном округе зарегистрировано 5 организаций, из них 5 – садоводческие кооперативы. 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bCs w:val="false"/>
          <w:sz w:val="24"/>
        </w:rPr>
      </w:pPr>
      <w:r>
        <w:rPr>
          <w:rFonts w:ascii="Liberation Serif" w:hAnsi="Liberation Serif"/>
          <w:b w:val="false"/>
          <w:bCs w:val="false"/>
          <w:sz w:val="24"/>
        </w:rPr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6. 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Показатель определяется как отношение общей протяженности автомобильных дорог общего пользования местного значения, не отвечающих нормативным требованиям (</w:t>
      </w:r>
      <w:hyperlink r:id="rId2">
        <w:r>
          <w:rPr>
            <w:rFonts w:cs="Liberation Serif" w:ascii="Liberation Serif" w:hAnsi="Liberation Serif"/>
            <w:color w:val="0000FF"/>
          </w:rPr>
          <w:t>ГОСТ Р 50597-2017</w:t>
        </w:r>
      </w:hyperlink>
      <w:r>
        <w:rPr>
          <w:rFonts w:cs="Liberation Serif" w:ascii="Liberation Serif" w:hAnsi="Liberation Serif"/>
        </w:rPr>
        <w:t xml:space="preserve"> "Дороги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контроля"</w:t>
      </w:r>
      <w:r>
        <w:rPr>
          <w:rFonts w:ascii="Liberation Serif" w:hAnsi="Liberation Serif"/>
        </w:rPr>
        <w:t>) с учетом ОДН 218.0.006-2002 «Правила диагностики и оценки состояния автомобильных дорог» утвержденным Распоряжением Минтранса России от 3 октября 2002 года № ИС-840-р, к общей протяженности автомобильных дорог общего пользования местного значения.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Рассчитывается по формуле:</w:t>
      </w:r>
    </w:p>
    <w:p>
      <w:pPr>
        <w:pStyle w:val="Normal"/>
        <w:ind w:firstLine="709"/>
        <w:jc w:val="left"/>
        <w:rPr>
          <w:rFonts w:ascii="Liberation Serif" w:hAnsi="Liberation Serif"/>
        </w:rPr>
      </w:pPr>
      <w:r>
        <w:rPr/>
      </w:r>
      <m:oMathPara xmlns:m="http://schemas.openxmlformats.org/officeDocument/2006/math">
        <m:oMathParaPr>
          <m:jc m:val="left"/>
        </m:oMathParaPr>
        <m:oMath>
          <m:r>
            <m:rPr>
              <m:lit/>
              <m:nor/>
            </m:rPr>
            <w:rPr>
              <w:rFonts w:ascii="Cambria Math" w:hAnsi="Cambria Math"/>
            </w:rPr>
            <m:t xml:space="preserve">Dd</m:t>
          </m:r>
          <m:r>
            <w:rPr>
              <w:rFonts w:ascii="Cambria Math" w:hAnsi="Cambria Math"/>
            </w:rPr>
            <m:t xml:space="preserve">=</m:t>
          </m:r>
          <m:f>
            <m:num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Dp</m:t>
              </m:r>
            </m:num>
            <m:den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Do</m:t>
              </m:r>
            </m:den>
          </m:f>
          <m:r>
            <w:rPr>
              <w:rFonts w:ascii="Cambria Math" w:hAnsi="Cambria Math"/>
            </w:rPr>
            <m:t xml:space="preserve">×</m:t>
          </m:r>
          <m:r>
            <m:rPr>
              <m:lit/>
              <m:nor/>
            </m:rPr>
            <w:rPr>
              <w:rFonts w:ascii="Cambria Math" w:hAnsi="Cambria Math"/>
            </w:rPr>
            <m:t xml:space="preserve">100</m:t>
          </m:r>
          <m:r>
            <m:rPr>
              <m:lit/>
              <m:nor/>
            </m:rPr>
            <w:rPr>
              <w:rFonts w:ascii="Cambria Math" w:hAnsi="Cambria Math"/>
            </w:rPr>
            <m:t xml:space="preserve">%,</m:t>
          </m:r>
        </m:oMath>
      </m:oMathPara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sz w:val="24"/>
        </w:rPr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sz w:val="24"/>
        </w:rPr>
        <w:t>где: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iCs/>
          <w:sz w:val="24"/>
        </w:rPr>
      </w:pPr>
      <w:r>
        <w:rPr>
          <w:rFonts w:ascii="Liberation Serif" w:hAnsi="Liberation Serif"/>
          <w:b w:val="false"/>
          <w:iCs/>
          <w:sz w:val="24"/>
        </w:rPr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iCs/>
          <w:sz w:val="24"/>
          <w:lang w:val="en-US"/>
        </w:rPr>
        <w:t>Dp</w:t>
      </w:r>
      <w:r>
        <w:rPr>
          <w:rFonts w:ascii="Liberation Serif" w:hAnsi="Liberation Serif"/>
          <w:b w:val="false"/>
          <w:sz w:val="24"/>
        </w:rPr>
        <w:t xml:space="preserve"> – протяженность автомобильных дорог общего пользования местного значения, не отвечающих нормативным требованиям (км);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iCs/>
          <w:sz w:val="24"/>
          <w:lang w:val="en-US"/>
        </w:rPr>
        <w:t>Do</w:t>
      </w:r>
      <w:r>
        <w:rPr>
          <w:rFonts w:ascii="Liberation Serif" w:hAnsi="Liberation Serif"/>
          <w:b w:val="false"/>
          <w:sz w:val="24"/>
        </w:rPr>
        <w:t xml:space="preserve"> – протяженность автомобильных дорог общего пользования местного значения (км).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sz w:val="24"/>
        </w:rPr>
      </w:r>
    </w:p>
    <w:tbl>
      <w:tblPr>
        <w:tblW w:w="11242" w:type="dxa"/>
        <w:jc w:val="left"/>
        <w:tblInd w:w="-70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09"/>
        <w:gridCol w:w="1167"/>
        <w:gridCol w:w="1079"/>
        <w:gridCol w:w="1081"/>
        <w:gridCol w:w="1127"/>
        <w:gridCol w:w="1081"/>
        <w:gridCol w:w="1080"/>
        <w:gridCol w:w="1151"/>
        <w:gridCol w:w="1104"/>
        <w:gridCol w:w="1162"/>
      </w:tblGrid>
      <w:tr>
        <w:trPr/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Обозначение показателя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3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2024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2025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2026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2027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2028</w:t>
            </w:r>
          </w:p>
        </w:tc>
      </w:tr>
      <w:tr>
        <w:trPr/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b/>
                <w:iCs/>
                <w:color w:val="000000"/>
                <w:lang w:val="en-US"/>
              </w:rPr>
              <w:t>Dp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3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26,8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26,5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29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32,69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33,1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32,0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31,6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31,3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31,3</w:t>
            </w:r>
          </w:p>
        </w:tc>
      </w:tr>
      <w:tr>
        <w:trPr/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b/>
                <w:iCs/>
                <w:color w:val="000000"/>
                <w:lang w:val="en-US"/>
              </w:rPr>
              <w:t>Do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3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58,30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58,30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64,08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72,0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73,6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73,6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73,6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73,6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73,6</w:t>
            </w:r>
          </w:p>
        </w:tc>
      </w:tr>
      <w:tr>
        <w:trPr/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0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b/>
                <w:iCs/>
                <w:color w:val="000000"/>
                <w:lang w:val="en-US"/>
              </w:rPr>
              <w:t>Dd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3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45,97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45,45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45,24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45,4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43,5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43,0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42,5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color w:val="00000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hd w:fill="auto" w:val="clear"/>
              </w:rPr>
              <w:t>42,5</w:t>
            </w:r>
          </w:p>
        </w:tc>
      </w:tr>
    </w:tbl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sz w:val="24"/>
        </w:rPr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для улучшения состояния автомобильных дорог и для повышения данного показателя в период до </w:t>
      </w:r>
      <w:r>
        <w:rPr>
          <w:rFonts w:ascii="Liberation Serif" w:hAnsi="Liberation Serif"/>
          <w:shd w:fill="auto" w:val="clear"/>
        </w:rPr>
        <w:t xml:space="preserve">2027 </w:t>
      </w:r>
      <w:r>
        <w:rPr>
          <w:rFonts w:ascii="Liberation Serif" w:hAnsi="Liberation Serif"/>
        </w:rPr>
        <w:t>года будут проводиться следующие мероприятия:</w:t>
      </w:r>
    </w:p>
    <w:p>
      <w:pPr>
        <w:pStyle w:val="Normal"/>
        <w:widowControl w:val="false"/>
        <w:ind w:firstLine="709"/>
        <w:rPr>
          <w:rFonts w:ascii="Liberation Serif" w:hAnsi="Liberation Serif"/>
          <w:bCs/>
        </w:rPr>
      </w:pPr>
      <w:r>
        <w:rPr>
          <w:rFonts w:ascii="Liberation Serif" w:hAnsi="Liberation Serif"/>
        </w:rPr>
        <w:t xml:space="preserve">- в рамках реализации муниципальной программы «Развитие транспортного комплекса Малышевского муниципального округа до 2027 года» </w:t>
      </w:r>
      <w:r>
        <w:rPr>
          <w:rFonts w:ascii="Liberation Serif" w:hAnsi="Liberation Serif"/>
          <w:bCs/>
        </w:rPr>
        <w:t>планируется выполнение ряда мероприятий, включая такие как: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- ремонт автомобильных дорог общего пользования местного значения;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- содержание  автомобильных дорог Малышевского муниципального  округа;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</w:rPr>
        <w:t xml:space="preserve">- обустройство грунтовых дорог,  </w:t>
      </w:r>
      <w:r>
        <w:rPr>
          <w:rFonts w:cs="Liberation Serif;Times New Roman" w:ascii="Liberation Serif;Times New Roman" w:hAnsi="Liberation Serif;Times New Roman"/>
          <w:bCs/>
          <w:color w:val="000000"/>
        </w:rPr>
        <w:t>остановок общественного транспорта;</w:t>
      </w:r>
    </w:p>
    <w:p>
      <w:pPr>
        <w:pStyle w:val="Normal"/>
        <w:spacing w:lineRule="auto" w:line="276"/>
        <w:ind w:left="0" w:right="0" w:firstLine="709"/>
        <w:rPr>
          <w:rFonts w:ascii="Liberation Serif;Times New Roman" w:hAnsi="Liberation Serif;Times New Roman" w:cs="Liberation Serif;Times New Roman"/>
          <w:bCs/>
          <w:color w:val="000000"/>
        </w:rPr>
      </w:pPr>
      <w:r>
        <w:rPr>
          <w:rFonts w:cs="Liberation Serif;Times New Roman" w:ascii="Liberation Serif;Times New Roman" w:hAnsi="Liberation Serif;Times New Roman"/>
          <w:bCs/>
          <w:color w:val="000000"/>
        </w:rPr>
        <w:t>- удаление и обрезка деревьев вдоль автомобильной дороги;</w:t>
      </w:r>
    </w:p>
    <w:p>
      <w:pPr>
        <w:pStyle w:val="Normal"/>
        <w:spacing w:lineRule="auto" w:line="276"/>
        <w:ind w:left="0" w:right="0" w:firstLine="709"/>
        <w:rPr/>
      </w:pPr>
      <w:r>
        <w:rPr/>
        <w:t>- проведение контроля качества устройства дорожного покрытия;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</w:rPr>
        <w:t>- услуги на осуществление регулярных перевозок пассажиров и багажа автомобильным транспортом по регулируемым тарифам.,,,</w:t>
      </w:r>
    </w:p>
    <w:p>
      <w:pPr>
        <w:pStyle w:val="BodyTextIndent2"/>
        <w:tabs>
          <w:tab w:val="clear" w:pos="708"/>
          <w:tab w:val="left" w:pos="1260" w:leader="none"/>
        </w:tabs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tabs>
          <w:tab w:val="clear" w:pos="708"/>
          <w:tab w:val="left" w:pos="126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 xml:space="preserve">7.  </w:t>
      </w:r>
      <w:r>
        <w:rPr>
          <w:rFonts w:ascii="Liberation Serif" w:hAnsi="Liberation Serif"/>
          <w:iCs/>
          <w:sz w:val="24"/>
          <w:shd w:fill="auto" w:val="clear"/>
        </w:rPr>
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  округа (муниципального района), в общей численности населения муниципального  округа (муниципального района)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u w:val="single"/>
          <w:shd w:fill="auto" w:val="clear"/>
        </w:rPr>
        <w:t>Расчет показателя произведен по формуле:</w:t>
      </w:r>
      <w:r>
        <w:rPr>
          <w:rFonts w:ascii="Liberation Serif" w:hAnsi="Liberation Serif"/>
          <w:shd w:fill="auto" w:val="clear"/>
        </w:rPr>
        <w:t xml:space="preserve"> </w:t>
      </w:r>
    </w:p>
    <w:p>
      <w:pPr>
        <w:pStyle w:val="BodyTextIndent2"/>
        <w:spacing w:before="0" w:after="240"/>
        <w:ind w:firstLine="709"/>
        <w:jc w:val="left"/>
        <w:rPr>
          <w:rFonts w:ascii="Liberation Serif" w:hAnsi="Liberation Serif"/>
          <w:sz w:val="24"/>
          <w:highlight w:val="yellow"/>
        </w:rPr>
      </w:pPr>
      <w:r>
        <w:rPr/>
      </w:r>
      <m:oMathPara xmlns:m="http://schemas.openxmlformats.org/officeDocument/2006/math">
        <m:oMathParaPr>
          <m:jc m:val="left"/>
        </m:oMathParaPr>
        <m:oMath>
          <m:r>
            <m:rPr>
              <m:lit/>
              <m:nor/>
            </m:rPr>
            <w:rPr>
              <w:rFonts w:ascii="Cambria Math" w:hAnsi="Cambria Math"/>
            </w:rPr>
            <m:t xml:space="preserve">Dн</m:t>
          </m:r>
          <m:r>
            <w:rPr>
              <w:rFonts w:ascii="Cambria Math" w:hAnsi="Cambria Math"/>
            </w:rPr>
            <m:t xml:space="preserve">=</m:t>
          </m:r>
          <m:f>
            <m:num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Чнас</m:t>
              </m:r>
              <m:r>
                <w:rPr>
                  <w:rFonts w:ascii="Cambria Math" w:hAnsi="Cambria Math"/>
                </w:rPr>
                <m:t xml:space="preserve">−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Чим</m:t>
              </m:r>
            </m:num>
            <m:den>
              <m:r>
                <m:rPr>
                  <m:lit/>
                  <m:nor/>
                </m:rPr>
                <w:rPr>
                  <w:rFonts w:ascii="Cambria Math" w:hAnsi="Cambria Math"/>
                </w:rPr>
                <m:t xml:space="preserve">Чнас</m:t>
              </m:r>
            </m:den>
          </m:f>
          <m:r>
            <w:rPr>
              <w:rFonts w:ascii="Cambria Math" w:hAnsi="Cambria Math"/>
            </w:rPr>
            <m:t xml:space="preserve">×</m:t>
          </m:r>
          <m:r>
            <m:rPr>
              <m:lit/>
              <m:nor/>
            </m:rPr>
            <w:rPr>
              <w:rFonts w:ascii="Cambria Math" w:hAnsi="Cambria Math"/>
            </w:rPr>
            <m:t xml:space="preserve">100</m:t>
          </m:r>
          <m:r>
            <m:rPr>
              <m:lit/>
              <m:nor/>
            </m:rPr>
            <w:rPr>
              <w:rFonts w:ascii="Cambria Math" w:hAnsi="Cambria Math"/>
            </w:rPr>
            <m:t xml:space="preserve">%,</m:t>
          </m:r>
        </m:oMath>
      </m:oMathPara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ab/>
      </w:r>
      <w:r>
        <w:rPr>
          <w:rFonts w:ascii="Liberation Serif" w:hAnsi="Liberation Serif"/>
          <w:b w:val="false"/>
          <w:sz w:val="24"/>
          <w:shd w:fill="auto" w:val="clear"/>
        </w:rPr>
        <w:t>где: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ab/>
      </w:r>
      <w:r>
        <w:rPr>
          <w:rFonts w:ascii="Liberation Serif" w:hAnsi="Liberation Serif"/>
          <w:b w:val="false"/>
          <w:iCs/>
          <w:sz w:val="24"/>
          <w:shd w:fill="auto" w:val="clear"/>
        </w:rPr>
        <w:t>Чнас</w:t>
      </w:r>
      <w:r>
        <w:rPr>
          <w:rFonts w:ascii="Liberation Serif" w:hAnsi="Liberation Serif"/>
          <w:b w:val="false"/>
          <w:sz w:val="24"/>
          <w:shd w:fill="auto" w:val="clear"/>
        </w:rPr>
        <w:t xml:space="preserve"> – среднегодовая численность постоянного населения муниципального  округа (муниципального района) (человек)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iCs/>
          <w:sz w:val="24"/>
          <w:shd w:fill="auto" w:val="clear"/>
        </w:rPr>
        <w:t>Чим</w:t>
      </w:r>
      <w:r>
        <w:rPr>
          <w:rFonts w:ascii="Liberation Serif" w:hAnsi="Liberation Serif"/>
          <w:b w:val="false"/>
          <w:sz w:val="24"/>
          <w:shd w:fill="auto" w:val="clear"/>
        </w:rPr>
        <w:t xml:space="preserve"> – среднегодовая численность населения, проживающего в населенных пунктах, имеющих регулярное автобусное и (или) железнодорожное сообщение с административным центром муниципального  округа (муниципального района) (человек).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  <w:highlight w:val="yellow"/>
        </w:rPr>
      </w:pPr>
      <w:r>
        <w:rPr>
          <w:rFonts w:ascii="Liberation Serif" w:hAnsi="Liberation Serif"/>
          <w:b w:val="false"/>
          <w:sz w:val="24"/>
          <w:highlight w:val="yellow"/>
        </w:rPr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  <w:highlight w:val="yellow"/>
        </w:rPr>
      </w:pPr>
      <w:r>
        <w:rPr>
          <w:rFonts w:ascii="Liberation Serif" w:hAnsi="Liberation Serif"/>
          <w:b w:val="false"/>
          <w:sz w:val="24"/>
          <w:highlight w:val="yellow"/>
        </w:rPr>
      </w:r>
    </w:p>
    <w:tbl>
      <w:tblPr>
        <w:tblW w:w="10224" w:type="dxa"/>
        <w:jc w:val="left"/>
        <w:tblInd w:w="-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10"/>
        <w:gridCol w:w="1417"/>
        <w:gridCol w:w="1357"/>
        <w:gridCol w:w="1416"/>
        <w:gridCol w:w="1358"/>
        <w:gridCol w:w="1431"/>
        <w:gridCol w:w="1434"/>
      </w:tblGrid>
      <w:tr>
        <w:trPr/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Обозначение показателя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2023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2026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>
          <w:trHeight w:val="427" w:hRule="atLeast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709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iCs/>
                <w:shd w:fill="auto" w:val="clear"/>
              </w:rPr>
              <w:t>Ч нас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9519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9457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9377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9317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9277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9416</w:t>
            </w:r>
          </w:p>
        </w:tc>
      </w:tr>
      <w:tr>
        <w:trPr/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709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iCs/>
                <w:shd w:fill="auto" w:val="clear"/>
              </w:rPr>
              <w:t>Чим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9519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9457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9377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9317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9277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9416</w:t>
            </w:r>
          </w:p>
        </w:tc>
      </w:tr>
      <w:tr>
        <w:trPr/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709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val="en-US"/>
              </w:rPr>
              <w:t>D</w:t>
            </w:r>
            <w:r>
              <w:rPr>
                <w:rFonts w:ascii="Liberation Serif" w:hAnsi="Liberation Serif"/>
                <w:b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b/>
                <w:shd w:fill="auto" w:val="clear"/>
                <w:lang w:val="en-US"/>
              </w:rPr>
              <w:t>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100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100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100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bCs/>
                <w:shd w:fill="auto" w:val="clear"/>
              </w:rPr>
              <w:t>100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bCs/>
                <w:shd w:fill="auto" w:val="clear"/>
              </w:rPr>
              <w:t>100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</w:rPr>
            </w:pPr>
            <w:r>
              <w:rPr>
                <w:b/>
                <w:bCs/>
                <w:color w:val="000000"/>
                <w:shd w:fill="auto" w:val="clear"/>
              </w:rPr>
              <w:t>100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highlight w:val="yellow"/>
        </w:rPr>
      </w:r>
    </w:p>
    <w:p>
      <w:pPr>
        <w:pStyle w:val="Normal"/>
        <w:tabs>
          <w:tab w:val="clear" w:pos="708"/>
          <w:tab w:val="left" w:pos="1004" w:leader="none"/>
          <w:tab w:val="left" w:pos="1440" w:leader="none"/>
          <w:tab w:val="left" w:pos="168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С целью предоставления транспортных услуг населению и организации транспортного обслуживания населения в границах Малышевского муниципального  округа определен социально значимым автобусный маршрут «п. Изумруд – пгт Малышева – п. Шамейский».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sz w:val="24"/>
        </w:rPr>
        <w:t>8. Среднемесячная номинальная начисленная заработная плата работников</w:t>
      </w:r>
      <w:r>
        <w:rPr>
          <w:rFonts w:ascii="Liberation Serif" w:hAnsi="Liberation Serif"/>
          <w:b w:val="false"/>
          <w:sz w:val="24"/>
        </w:rPr>
        <w:t xml:space="preserve">: 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крупных и средних предприятий и некоммерческих организаций;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>В Малышевском муниципальном округе отмечается положительная динамика значений показателя в отношении всех категорий работников.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>Администрация Малышевского муниципального  округа осуществляет мониторинг и контроль уровня заработной платы на территории муниципального  округа.</w:t>
      </w:r>
    </w:p>
    <w:p>
      <w:pPr>
        <w:pStyle w:val="BodyTextIndent2"/>
        <w:ind w:firstLine="709"/>
        <w:rPr>
          <w:rFonts w:ascii="Liberation Serif" w:hAnsi="Liberation Serif"/>
          <w:sz w:val="24"/>
          <w:highlight w:val="yellow"/>
        </w:rPr>
      </w:pPr>
      <w:r>
        <w:rPr>
          <w:rFonts w:ascii="Liberation Serif" w:hAnsi="Liberation Serif"/>
          <w:sz w:val="24"/>
          <w:highlight w:val="yellow"/>
        </w:rPr>
      </w:r>
    </w:p>
    <w:tbl>
      <w:tblPr>
        <w:tblW w:w="104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697"/>
        <w:gridCol w:w="1380"/>
        <w:gridCol w:w="1247"/>
        <w:gridCol w:w="1192"/>
        <w:gridCol w:w="1307"/>
        <w:gridCol w:w="1403"/>
        <w:gridCol w:w="1189"/>
      </w:tblGrid>
      <w:tr>
        <w:trPr>
          <w:trHeight w:val="562" w:hRule="atLeast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77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709"/>
              <w:jc w:val="center"/>
              <w:rPr>
                <w:rFonts w:ascii="Liberation Serif" w:hAnsi="Liberation Serif"/>
                <w:b/>
                <w:b/>
                <w:highlight w:val="yellow"/>
                <w:lang w:eastAsia="en-US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Средняя заработная плата, руб.</w:t>
            </w:r>
          </w:p>
        </w:tc>
      </w:tr>
      <w:tr>
        <w:trPr>
          <w:trHeight w:val="466" w:hRule="atLeast"/>
        </w:trPr>
        <w:tc>
          <w:tcPr>
            <w:tcW w:w="26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709"/>
              <w:jc w:val="center"/>
              <w:rPr>
                <w:rFonts w:ascii="Liberation Serif" w:hAnsi="Liberation Serif"/>
                <w:b/>
                <w:b/>
                <w:highlight w:val="none"/>
                <w:shd w:fill="auto" w:val="clear"/>
                <w:lang w:eastAsia="en-US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2024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2025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2026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  <w:lang w:eastAsia="en-US"/>
              </w:rPr>
              <w:t>2027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/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крупных и средних предприятий и некоммерческих организаций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  <w:lang w:eastAsia="en-US"/>
              </w:rPr>
              <w:t>56695,30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68613,5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78922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82078,88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85362,03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color w:val="000000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88776,51</w:t>
            </w:r>
          </w:p>
        </w:tc>
      </w:tr>
    </w:tbl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  <w:highlight w:val="yellow"/>
        </w:rPr>
      </w:pPr>
      <w:r>
        <w:rPr>
          <w:rFonts w:ascii="Liberation Serif" w:hAnsi="Liberation Serif"/>
          <w:b w:val="false"/>
          <w:sz w:val="24"/>
          <w:highlight w:val="yellow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>Показатель на плановый период 2026-2028 годов, рассчитан исходя из уровня инфляции( без учета санкционных рисков), сценарных условий, основные параметров прогноза социально–экономического развития Малышевского муниципального  округа, также уровень заработной платы отражен в Стратегии социально-экономического развития Малышевского муниципального  округа до 2035 года, утвержденной решением Думы Малышевского муниципального  округа № 169 от 20.12.2018 года.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sz w:val="24"/>
        </w:rPr>
        <w:t>8. Среднемесячная номинальная начисленная заработная плата работников</w:t>
      </w:r>
      <w:r>
        <w:rPr>
          <w:rFonts w:ascii="Liberation Serif" w:hAnsi="Liberation Serif"/>
          <w:b w:val="false"/>
          <w:sz w:val="24"/>
        </w:rPr>
        <w:t xml:space="preserve">: 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муниципальных дошкольных образовательных учреждений;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муниципальных общеобразовательных учреждений;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учителей муниципальных общеобразовательных учреждений;</w:t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tbl>
      <w:tblPr>
        <w:tblW w:w="104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441"/>
        <w:gridCol w:w="1470"/>
        <w:gridCol w:w="1291"/>
        <w:gridCol w:w="1140"/>
        <w:gridCol w:w="1300"/>
        <w:gridCol w:w="1481"/>
        <w:gridCol w:w="1292"/>
      </w:tblGrid>
      <w:tr>
        <w:trPr>
          <w:trHeight w:val="562" w:hRule="atLeast"/>
        </w:trPr>
        <w:tc>
          <w:tcPr>
            <w:tcW w:w="2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ind w:firstLine="709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7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ind w:firstLine="709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Средняя заработная плата, руб.</w:t>
            </w:r>
          </w:p>
        </w:tc>
      </w:tr>
      <w:tr>
        <w:trPr>
          <w:trHeight w:val="466" w:hRule="atLeast"/>
        </w:trPr>
        <w:tc>
          <w:tcPr>
            <w:tcW w:w="24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ind w:firstLine="709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ind w:firstLine="24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2023 год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ind w:firstLine="24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20</w:t>
            </w:r>
            <w:r>
              <w:rPr>
                <w:rFonts w:ascii="Liberation Serif" w:hAnsi="Liberation Serif"/>
                <w:b/>
                <w:color w:val="000000" w:themeColor="text1"/>
                <w:lang w:val="en-US" w:eastAsia="en-US"/>
              </w:rPr>
              <w:t>2</w:t>
            </w: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4 год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ind w:firstLine="24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val="en-US" w:eastAsia="en-US"/>
              </w:rPr>
              <w:t>202</w:t>
            </w: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5год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ind w:firstLine="24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val="en-US" w:eastAsia="en-US"/>
              </w:rPr>
              <w:t>202</w:t>
            </w: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6</w:t>
            </w:r>
            <w:r>
              <w:rPr>
                <w:rFonts w:ascii="Liberation Serif" w:hAnsi="Liberation Serif"/>
                <w:b/>
                <w:color w:val="000000" w:themeColor="text1"/>
                <w:lang w:val="en-US" w:eastAsia="en-US"/>
              </w:rPr>
              <w:t xml:space="preserve"> </w:t>
            </w: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год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ind w:firstLine="24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2027 год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ind w:firstLine="24"/>
              <w:jc w:val="center"/>
              <w:rPr>
                <w:rFonts w:ascii="Liberation Serif" w:hAnsi="Liberation Serif"/>
                <w:b/>
                <w:b/>
                <w:color w:val="000000" w:themeColor="text1"/>
                <w:lang w:eastAsia="en-US"/>
              </w:rPr>
            </w:pPr>
            <w:r>
              <w:rPr>
                <w:rFonts w:ascii="Liberation Serif" w:hAnsi="Liberation Serif"/>
                <w:b/>
                <w:color w:val="000000" w:themeColor="text1"/>
                <w:lang w:eastAsia="en-US"/>
              </w:rPr>
              <w:t>2028 год</w:t>
            </w:r>
          </w:p>
        </w:tc>
      </w:tr>
      <w:tr>
        <w:trPr/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 w:themeColor="text1"/>
                <w:shd w:fill="auto" w:val="clear"/>
                <w:lang w:eastAsia="en-US"/>
              </w:rPr>
              <w:t>муниципальных дошкольных образовательных учреждений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37467,5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46976,6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55581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57804,24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60116,4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color w:val="000000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62521,06</w:t>
            </w:r>
          </w:p>
        </w:tc>
      </w:tr>
      <w:tr>
        <w:trPr>
          <w:trHeight w:val="139" w:hRule="atLeast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 w:themeColor="text1"/>
                <w:shd w:fill="auto" w:val="clear"/>
                <w:lang w:eastAsia="en-US"/>
              </w:rPr>
              <w:t>муниципальных общеобразовательных учреждений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47740,40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61161,6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71983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74862,32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77856,81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color w:val="000000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80971,08</w:t>
            </w:r>
          </w:p>
        </w:tc>
      </w:tr>
      <w:tr>
        <w:trPr>
          <w:trHeight w:val="220" w:hRule="atLeast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 w:themeColor="text1"/>
                <w:shd w:fill="auto" w:val="clear"/>
                <w:lang w:eastAsia="en-US"/>
              </w:rPr>
              <w:t>учителей муниципальных образовательных учреждений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53756,63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71521,99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81254,54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84504,72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87884,91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color w:val="000000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91400,30</w:t>
            </w:r>
          </w:p>
        </w:tc>
      </w:tr>
    </w:tbl>
    <w:p>
      <w:pPr>
        <w:pStyle w:val="Style27"/>
        <w:suppressAutoHyphens w:val="true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color w:val="000000"/>
          <w:sz w:val="24"/>
        </w:rPr>
        <w:t>Параметры по повышению заработной платы педагогических работников образовательных учреждений в рамках реализации «майских указов» Президента выполнены в полном объеме.</w:t>
      </w:r>
    </w:p>
    <w:p>
      <w:pPr>
        <w:pStyle w:val="Style27"/>
        <w:ind w:firstLine="709"/>
        <w:jc w:val="center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Normal"/>
        <w:ind w:firstLine="709"/>
        <w:rPr>
          <w:rFonts w:ascii="Liberation Serif" w:hAnsi="Liberation Serif"/>
          <w:b/>
          <w:b/>
          <w:bCs/>
        </w:rPr>
      </w:pPr>
      <w:r>
        <w:rPr>
          <w:rFonts w:ascii="Liberation Serif" w:hAnsi="Liberation Serif"/>
          <w:b/>
          <w:bCs/>
        </w:rPr>
        <w:t>муниципальных учреждений культуры и искусства;</w:t>
      </w:r>
    </w:p>
    <w:tbl>
      <w:tblPr>
        <w:tblW w:w="104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271"/>
        <w:gridCol w:w="1404"/>
        <w:gridCol w:w="1301"/>
        <w:gridCol w:w="1371"/>
        <w:gridCol w:w="1356"/>
        <w:gridCol w:w="1473"/>
        <w:gridCol w:w="1239"/>
      </w:tblGrid>
      <w:tr>
        <w:trPr>
          <w:trHeight w:val="562" w:hRule="atLeast"/>
        </w:trPr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b/>
                <w:b/>
                <w:color w:val="000000"/>
                <w:lang w:eastAsia="en-US"/>
              </w:rPr>
            </w:pPr>
            <w:r>
              <w:rPr>
                <w:rFonts w:ascii="Liberation Serif" w:hAnsi="Liberation Serif"/>
                <w:b/>
                <w:color w:val="000000"/>
                <w:lang w:eastAsia="en-US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81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709"/>
              <w:jc w:val="center"/>
              <w:rPr>
                <w:rFonts w:ascii="Liberation Serif" w:hAnsi="Liberation Serif"/>
                <w:b/>
                <w:b/>
                <w:color w:val="000000"/>
                <w:lang w:eastAsia="en-US"/>
              </w:rPr>
            </w:pPr>
            <w:r>
              <w:rPr>
                <w:rFonts w:ascii="Liberation Serif" w:hAnsi="Liberation Serif"/>
                <w:b/>
                <w:color w:val="000000"/>
                <w:lang w:eastAsia="en-US"/>
              </w:rPr>
              <w:t>средняя заработная плата, руб.</w:t>
            </w:r>
          </w:p>
        </w:tc>
      </w:tr>
      <w:tr>
        <w:trPr>
          <w:trHeight w:val="466" w:hRule="atLeast"/>
        </w:trPr>
        <w:tc>
          <w:tcPr>
            <w:tcW w:w="22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709"/>
              <w:jc w:val="center"/>
              <w:rPr>
                <w:rFonts w:ascii="Liberation Serif" w:hAnsi="Liberation Serif"/>
                <w:b/>
                <w:b/>
                <w:color w:val="000000"/>
                <w:lang w:eastAsia="en-US"/>
              </w:rPr>
            </w:pPr>
            <w:r>
              <w:rPr>
                <w:rFonts w:ascii="Liberation Serif" w:hAnsi="Liberation Serif"/>
                <w:b/>
                <w:color w:val="000000"/>
                <w:lang w:eastAsia="en-US"/>
              </w:rPr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color w:val="000000"/>
                <w:shd w:fill="auto" w:val="clear"/>
                <w:lang w:eastAsia="en-US"/>
              </w:rPr>
              <w:t>2023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color w:val="000000"/>
                <w:shd w:fill="auto" w:val="clear"/>
                <w:lang w:eastAsia="en-US"/>
              </w:rPr>
              <w:t>2024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color w:val="000000"/>
                <w:shd w:fill="auto" w:val="clear"/>
                <w:lang w:eastAsia="en-US"/>
              </w:rPr>
              <w:t>2025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color w:val="000000"/>
                <w:shd w:fill="auto" w:val="clear"/>
                <w:lang w:eastAsia="en-US"/>
              </w:rPr>
              <w:t>2026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color w:val="000000"/>
                <w:shd w:fill="auto" w:val="clear"/>
                <w:lang w:eastAsia="en-US"/>
              </w:rPr>
              <w:t>2027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color w:val="000000"/>
                <w:highlight w:val="none"/>
                <w:shd w:fill="auto" w:val="clear"/>
                <w:lang w:eastAsia="en-US"/>
              </w:rPr>
            </w:pPr>
            <w:r>
              <w:rPr>
                <w:rFonts w:ascii="Liberation Serif" w:hAnsi="Liberation Serif"/>
                <w:b/>
                <w:color w:val="000000"/>
                <w:shd w:fill="auto" w:val="clear"/>
                <w:lang w:eastAsia="en-US"/>
              </w:rPr>
              <w:t>2028</w:t>
            </w:r>
          </w:p>
        </w:tc>
      </w:tr>
      <w:tr>
        <w:trPr/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</w:rPr>
              <w:t>муниципальных учреждений культуры и искусства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55716,80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68563,1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80399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83614,96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86959,55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color w:val="000000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color w:val="000000"/>
                <w:shd w:fill="auto" w:val="clear"/>
              </w:rPr>
              <w:t>90437,94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bCs/>
        </w:rPr>
      </w:pPr>
      <w:r>
        <w:rPr>
          <w:rFonts w:ascii="Liberation Serif" w:hAnsi="Liberation Serif"/>
          <w:b/>
          <w:bCs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Параметры по повышению заработной платы работников культуры в рамках реализации Указов Президента выполнены в полном объеме.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yellow"/>
        </w:rPr>
      </w:pPr>
      <w:r>
        <w:rPr>
          <w:rFonts w:ascii="Liberation Serif" w:hAnsi="Liberation Serif"/>
          <w:b/>
          <w:bCs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муниципальных учреждений физической культуры и спорта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yellow"/>
        </w:rPr>
      </w:pPr>
      <w:r>
        <w:rPr>
          <w:rFonts w:ascii="Liberation Serif" w:hAnsi="Liberation Serif"/>
          <w:b/>
          <w:bCs/>
          <w:highlight w:val="yellow"/>
        </w:rPr>
      </w:r>
    </w:p>
    <w:tbl>
      <w:tblPr>
        <w:tblW w:w="104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271"/>
        <w:gridCol w:w="1412"/>
        <w:gridCol w:w="1354"/>
        <w:gridCol w:w="1414"/>
        <w:gridCol w:w="1417"/>
        <w:gridCol w:w="1255"/>
        <w:gridCol w:w="1292"/>
      </w:tblGrid>
      <w:tr>
        <w:trPr>
          <w:trHeight w:val="562" w:hRule="atLeast"/>
        </w:trPr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hd w:fill="auto" w:val="clear"/>
                <w:lang w:eastAsia="en-US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81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709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hd w:fill="auto" w:val="clear"/>
                <w:lang w:eastAsia="en-US"/>
              </w:rPr>
              <w:t>Средняя заработная плата, руб.</w:t>
            </w:r>
          </w:p>
        </w:tc>
      </w:tr>
      <w:tr>
        <w:trPr>
          <w:trHeight w:val="466" w:hRule="atLeast"/>
        </w:trPr>
        <w:tc>
          <w:tcPr>
            <w:tcW w:w="227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709"/>
              <w:jc w:val="center"/>
              <w:rPr>
                <w:rFonts w:ascii="Liberation Serif" w:hAnsi="Liberation Serif" w:cs="Liberation Serif"/>
                <w:b/>
                <w:b/>
                <w:color w:val="000000"/>
                <w:highlight w:val="none"/>
                <w:shd w:fill="auto" w:val="clear"/>
                <w:lang w:eastAsia="en-US"/>
              </w:rPr>
            </w:pPr>
            <w:r>
              <w:rPr>
                <w:rFonts w:cs="Liberation Serif" w:ascii="Liberation Serif" w:hAnsi="Liberation Serif"/>
                <w:b/>
                <w:color w:val="000000"/>
                <w:shd w:fill="auto" w:val="clear"/>
                <w:lang w:eastAsia="en-US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shd w:fill="auto" w:val="clear"/>
              </w:rPr>
              <w:t>2023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shd w:fill="auto" w:val="clear"/>
              </w:rPr>
              <w:t>2024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shd w:fill="auto" w:val="clear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shd w:fill="auto" w:val="clear"/>
              </w:rPr>
              <w:t>2026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shd w:fill="auto" w:val="clear"/>
              </w:rPr>
              <w:t>2027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Liberation Serif"/>
                <w:b/>
                <w:b/>
                <w:bCs/>
                <w:color w:val="000000"/>
                <w:highlight w:val="none"/>
                <w:shd w:fill="auto" w:val="clear"/>
                <w:lang w:eastAsia="en-US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hd w:fill="auto" w:val="clear"/>
                <w:lang w:eastAsia="en-US"/>
              </w:rPr>
              <w:t>2028</w:t>
            </w:r>
          </w:p>
        </w:tc>
      </w:tr>
      <w:tr>
        <w:trPr/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shd w:fill="auto" w:val="clear"/>
              </w:rPr>
              <w:t>муниципальных учреждений физической культуры и спорта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shd w:fill="auto" w:val="clear"/>
              </w:rPr>
              <w:t>32754,7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shd w:fill="auto" w:val="clear"/>
              </w:rPr>
              <w:t>38666,3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hd w:fill="auto" w:val="clear"/>
              </w:rPr>
              <w:t>37897,71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hd w:fill="auto" w:val="clear"/>
              </w:rPr>
              <w:t>39413,61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hd w:fill="auto" w:val="clear"/>
              </w:rPr>
              <w:t>40990,16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Liberation Serif"/>
                <w:color w:val="000000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hd w:fill="auto" w:val="clear"/>
              </w:rPr>
              <w:t>42629,76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bCs/>
        </w:rPr>
      </w:pPr>
      <w:r>
        <w:rPr>
          <w:rFonts w:ascii="Liberation Serif" w:hAnsi="Liberation Serif"/>
          <w:b/>
          <w:bCs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На 2026 год запланировано увеличение заработной платы за счет увеличения объема предоставляемых платных услуг.</w:t>
      </w:r>
    </w:p>
    <w:p>
      <w:pPr>
        <w:pStyle w:val="Style27"/>
        <w:ind w:hanging="0"/>
        <w:jc w:val="center"/>
        <w:rPr>
          <w:rFonts w:ascii="Liberation Serif" w:hAnsi="Liberation Serif"/>
          <w:b/>
          <w:b/>
          <w:i/>
          <w:i/>
          <w:sz w:val="24"/>
          <w:lang w:eastAsia="en-US"/>
        </w:rPr>
      </w:pPr>
      <w:r>
        <w:rPr>
          <w:rFonts w:ascii="Liberation Serif" w:hAnsi="Liberation Serif"/>
          <w:b/>
          <w:i/>
          <w:sz w:val="24"/>
          <w:lang w:eastAsia="en-US"/>
        </w:rPr>
      </w:r>
    </w:p>
    <w:p>
      <w:pPr>
        <w:pStyle w:val="Style27"/>
        <w:ind w:hanging="0"/>
        <w:jc w:val="center"/>
        <w:rPr>
          <w:rFonts w:ascii="Liberation Serif" w:hAnsi="Liberation Serif"/>
          <w:b/>
          <w:b/>
          <w:i/>
          <w:i/>
          <w:sz w:val="24"/>
          <w:lang w:eastAsia="en-US"/>
        </w:rPr>
      </w:pPr>
      <w:r>
        <w:rPr>
          <w:rFonts w:ascii="Liberation Serif" w:hAnsi="Liberation Serif"/>
          <w:b/>
          <w:i/>
          <w:sz w:val="24"/>
          <w:lang w:eastAsia="en-US"/>
        </w:rPr>
      </w:r>
    </w:p>
    <w:p>
      <w:pPr>
        <w:pStyle w:val="Style27"/>
        <w:ind w:hanging="0"/>
        <w:jc w:val="center"/>
        <w:rPr>
          <w:rFonts w:ascii="Liberation Serif" w:hAnsi="Liberation Serif"/>
          <w:b/>
          <w:b/>
          <w:i/>
          <w:i/>
          <w:sz w:val="24"/>
          <w:lang w:eastAsia="en-US"/>
        </w:rPr>
      </w:pPr>
      <w:r>
        <w:rPr>
          <w:rFonts w:ascii="Liberation Serif" w:hAnsi="Liberation Serif"/>
          <w:b/>
          <w:i/>
          <w:sz w:val="24"/>
          <w:lang w:eastAsia="en-US"/>
        </w:rPr>
        <w:t xml:space="preserve"> </w:t>
      </w:r>
      <w:r>
        <w:rPr>
          <w:rFonts w:ascii="Liberation Serif" w:hAnsi="Liberation Serif"/>
          <w:b/>
          <w:i/>
          <w:sz w:val="24"/>
          <w:lang w:eastAsia="en-US"/>
        </w:rPr>
        <w:t xml:space="preserve">Дошкольное образование </w:t>
      </w:r>
    </w:p>
    <w:p>
      <w:pPr>
        <w:pStyle w:val="Style27"/>
        <w:ind w:firstLine="709"/>
        <w:jc w:val="center"/>
        <w:rPr>
          <w:rFonts w:ascii="Liberation Serif" w:hAnsi="Liberation Serif"/>
          <w:b/>
          <w:b/>
          <w:sz w:val="24"/>
          <w:lang w:eastAsia="en-US"/>
        </w:rPr>
      </w:pPr>
      <w:r>
        <w:rPr>
          <w:rFonts w:ascii="Liberation Serif" w:hAnsi="Liberation Serif"/>
          <w:b/>
          <w:sz w:val="24"/>
          <w:lang w:eastAsia="en-US"/>
        </w:rPr>
      </w:r>
    </w:p>
    <w:p>
      <w:pPr>
        <w:pStyle w:val="Normal"/>
        <w:ind w:firstLine="709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  <w:t xml:space="preserve">В Малышевском муниципальном округе осуществляют деятельность 1 общеобразовательная школа – сад, 3 дошкольных образовательных организации. </w:t>
      </w:r>
    </w:p>
    <w:p>
      <w:pPr>
        <w:pStyle w:val="Normal"/>
        <w:ind w:firstLine="709"/>
        <w:rPr>
          <w:rFonts w:ascii="Liberation Serif" w:hAnsi="Liberation Serif"/>
          <w:bCs/>
          <w:highlight w:val="yellow"/>
        </w:rPr>
      </w:pPr>
      <w:r>
        <w:rPr>
          <w:rFonts w:ascii="Liberation Serif" w:hAnsi="Liberation Serif"/>
          <w:bCs/>
          <w:highlight w:val="yellow"/>
        </w:rPr>
      </w:r>
    </w:p>
    <w:p>
      <w:pPr>
        <w:pStyle w:val="Normal"/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  <w:lang w:eastAsia="en-US"/>
        </w:rPr>
        <w:t xml:space="preserve">9. </w:t>
      </w:r>
      <w:r>
        <w:rPr>
          <w:rFonts w:ascii="Liberation Serif" w:hAnsi="Liberation Serif"/>
          <w:b/>
          <w:color w:val="000000"/>
          <w:shd w:fill="auto" w:val="clear"/>
        </w:rPr>
        <w:t xml:space="preserve">Доля детей в возрасте 1-6 лет, получающих дошкольную образовательную услугу и (или) услугу по их содержанию в </w:t>
      </w:r>
      <w:r>
        <w:rPr>
          <w:rFonts w:ascii="Liberation Serif" w:hAnsi="Liberation Serif"/>
          <w:b/>
          <w:color w:val="000000"/>
          <w:spacing w:val="1"/>
          <w:shd w:fill="auto" w:val="clear"/>
        </w:rPr>
        <w:t xml:space="preserve">муниципальных </w:t>
      </w:r>
      <w:r>
        <w:rPr>
          <w:rFonts w:ascii="Liberation Serif" w:hAnsi="Liberation Serif"/>
          <w:b/>
          <w:color w:val="000000"/>
          <w:spacing w:val="6"/>
          <w:shd w:fill="auto" w:val="clear"/>
        </w:rPr>
        <w:t>образовательных учреждениях, в общей численности детей в возрасте 1-6 лет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  <w:highlight w:val="yellow"/>
          <w:lang w:eastAsia="en-US"/>
        </w:rPr>
      </w:pPr>
      <w:r>
        <w:rPr>
          <w:rFonts w:ascii="Liberation Serif" w:hAnsi="Liberation Serif"/>
          <w:b/>
          <w:highlight w:val="yellow"/>
          <w:lang w:eastAsia="en-US"/>
        </w:rPr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color w:val="000000"/>
          <w:spacing w:val="6"/>
          <w:shd w:fill="auto" w:val="clear"/>
        </w:rPr>
        <w:t>На 01.01.</w:t>
      </w:r>
      <w:r>
        <w:rPr>
          <w:rFonts w:ascii="Liberation Serif" w:hAnsi="Liberation Serif"/>
          <w:color w:val="000000"/>
          <w:spacing w:val="-3"/>
          <w:shd w:fill="auto" w:val="clear"/>
        </w:rPr>
        <w:t xml:space="preserve">2026 года доля детей, </w:t>
      </w:r>
      <w:r>
        <w:rPr>
          <w:rFonts w:ascii="Liberation Serif" w:hAnsi="Liberation Serif"/>
          <w:color w:val="000000"/>
          <w:shd w:fill="auto" w:val="clear"/>
        </w:rPr>
        <w:t>получающих дошкольную образовательную услугу в</w:t>
      </w:r>
      <w:r>
        <w:rPr>
          <w:rFonts w:ascii="Liberation Serif" w:hAnsi="Liberation Serif"/>
          <w:b/>
          <w:bCs/>
          <w:color w:val="000000"/>
          <w:shd w:fill="auto" w:val="clear"/>
        </w:rPr>
        <w:t xml:space="preserve"> </w:t>
      </w:r>
      <w:r>
        <w:rPr>
          <w:rFonts w:ascii="Liberation Serif" w:hAnsi="Liberation Serif"/>
          <w:color w:val="000000"/>
          <w:spacing w:val="1"/>
          <w:shd w:fill="auto" w:val="clear"/>
        </w:rPr>
        <w:t xml:space="preserve">муниципальных </w:t>
      </w:r>
      <w:r>
        <w:rPr>
          <w:rFonts w:ascii="Liberation Serif" w:hAnsi="Liberation Serif"/>
          <w:color w:val="000000"/>
          <w:spacing w:val="6"/>
          <w:shd w:fill="auto" w:val="clear"/>
        </w:rPr>
        <w:t xml:space="preserve">дошкольных образовательных учреждениях, составляет 85 % (в 2024 г.- 85,5%). </w:t>
      </w:r>
    </w:p>
    <w:p>
      <w:pPr>
        <w:pStyle w:val="Normal"/>
        <w:ind w:firstLine="709"/>
        <w:rPr>
          <w:rFonts w:ascii="Liberation Serif" w:hAnsi="Liberation Serif"/>
          <w:spacing w:val="6"/>
          <w:highlight w:val="yellow"/>
        </w:rPr>
      </w:pPr>
      <w:r>
        <w:rPr>
          <w:rFonts w:ascii="Liberation Serif" w:hAnsi="Liberation Serif"/>
          <w:spacing w:val="6"/>
          <w:highlight w:val="yellow"/>
        </w:rPr>
      </w:r>
    </w:p>
    <w:tbl>
      <w:tblPr>
        <w:tblStyle w:val="16"/>
        <w:tblW w:w="10065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18"/>
        <w:gridCol w:w="1131"/>
        <w:gridCol w:w="1021"/>
        <w:gridCol w:w="1001"/>
        <w:gridCol w:w="1013"/>
        <w:gridCol w:w="1131"/>
        <w:gridCol w:w="1218"/>
        <w:gridCol w:w="1030"/>
      </w:tblGrid>
      <w:tr>
        <w:trPr/>
        <w:tc>
          <w:tcPr>
            <w:tcW w:w="25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Наименование показателя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Единица измерения</w:t>
            </w:r>
          </w:p>
        </w:tc>
        <w:tc>
          <w:tcPr>
            <w:tcW w:w="10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2023</w:t>
            </w:r>
          </w:p>
        </w:tc>
        <w:tc>
          <w:tcPr>
            <w:tcW w:w="10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2024</w:t>
            </w:r>
          </w:p>
        </w:tc>
        <w:tc>
          <w:tcPr>
            <w:tcW w:w="101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2025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202</w:t>
            </w: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6</w:t>
            </w:r>
          </w:p>
        </w:tc>
        <w:tc>
          <w:tcPr>
            <w:tcW w:w="1218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2027</w:t>
            </w:r>
          </w:p>
        </w:tc>
        <w:tc>
          <w:tcPr>
            <w:tcW w:w="10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bCs/>
                <w:sz w:val="20"/>
                <w:szCs w:val="20"/>
                <w:shd w:fill="auto" w:val="clear"/>
              </w:rPr>
              <w:t>2028</w:t>
            </w:r>
          </w:p>
        </w:tc>
      </w:tr>
      <w:tr>
        <w:trPr/>
        <w:tc>
          <w:tcPr>
            <w:tcW w:w="25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Численность детей от 1 до 6 лет в Малышевском муниципальном округе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человек</w:t>
            </w:r>
          </w:p>
        </w:tc>
        <w:tc>
          <w:tcPr>
            <w:tcW w:w="10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606</w:t>
            </w:r>
          </w:p>
        </w:tc>
        <w:tc>
          <w:tcPr>
            <w:tcW w:w="10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527</w:t>
            </w:r>
          </w:p>
        </w:tc>
        <w:tc>
          <w:tcPr>
            <w:tcW w:w="101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484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440</w:t>
            </w:r>
          </w:p>
        </w:tc>
        <w:tc>
          <w:tcPr>
            <w:tcW w:w="1218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470</w:t>
            </w:r>
          </w:p>
        </w:tc>
        <w:tc>
          <w:tcPr>
            <w:tcW w:w="10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  <w:shd w:fill="auto" w:val="clear"/>
              </w:rPr>
              <w:t>472</w:t>
            </w:r>
          </w:p>
        </w:tc>
      </w:tr>
      <w:tr>
        <w:trPr/>
        <w:tc>
          <w:tcPr>
            <w:tcW w:w="25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Численность детей в возрасте от 1 до 6 лет, получающих дошкольную образовательную услугу и (или) услугу по их содержанию в муниципальных образовательных учреждениях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человек</w:t>
            </w:r>
          </w:p>
        </w:tc>
        <w:tc>
          <w:tcPr>
            <w:tcW w:w="10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437</w:t>
            </w:r>
          </w:p>
        </w:tc>
        <w:tc>
          <w:tcPr>
            <w:tcW w:w="10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435</w:t>
            </w:r>
          </w:p>
        </w:tc>
        <w:tc>
          <w:tcPr>
            <w:tcW w:w="101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413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380</w:t>
            </w:r>
          </w:p>
        </w:tc>
        <w:tc>
          <w:tcPr>
            <w:tcW w:w="1218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406</w:t>
            </w:r>
          </w:p>
        </w:tc>
        <w:tc>
          <w:tcPr>
            <w:tcW w:w="10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Liberation Serif" w:hAnsi="Liberation Serif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  <w:shd w:fill="auto" w:val="clear"/>
              </w:rPr>
              <w:t>412</w:t>
            </w:r>
          </w:p>
        </w:tc>
      </w:tr>
      <w:tr>
        <w:trPr/>
        <w:tc>
          <w:tcPr>
            <w:tcW w:w="25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Доля детей в возрасте 1-6 лет, получающих дошкольную образовательную услугу и (или) услугу по их содержанию в </w:t>
            </w:r>
            <w:r>
              <w:rPr>
                <w:rFonts w:eastAsia="Times New Roman" w:cs="Times New Roman" w:ascii="Liberation Serif" w:hAnsi="Liberation Serif"/>
                <w:bCs/>
                <w:color w:val="000000"/>
                <w:spacing w:val="1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муниципальных </w:t>
            </w:r>
            <w:r>
              <w:rPr>
                <w:rFonts w:eastAsia="Times New Roman" w:cs="Times New Roman" w:ascii="Liberation Serif" w:hAnsi="Liberation Serif"/>
                <w:bCs/>
                <w:color w:val="000000"/>
                <w:spacing w:val="6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образовательных учреждениях, в общей численности детей в возрасте 1-6 лет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процент</w:t>
            </w:r>
          </w:p>
        </w:tc>
        <w:tc>
          <w:tcPr>
            <w:tcW w:w="10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72,1</w:t>
            </w:r>
          </w:p>
        </w:tc>
        <w:tc>
          <w:tcPr>
            <w:tcW w:w="10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82,5</w:t>
            </w:r>
          </w:p>
        </w:tc>
        <w:tc>
          <w:tcPr>
            <w:tcW w:w="101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85,0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86,0</w:t>
            </w:r>
          </w:p>
        </w:tc>
        <w:tc>
          <w:tcPr>
            <w:tcW w:w="1218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86,0</w:t>
            </w:r>
          </w:p>
        </w:tc>
        <w:tc>
          <w:tcPr>
            <w:tcW w:w="10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firstLine="33"/>
              <w:jc w:val="center"/>
              <w:rPr>
                <w:rFonts w:ascii="Liberation Serif" w:hAnsi="Liberation Serif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  <w:shd w:fill="auto" w:val="clear"/>
              </w:rPr>
              <w:t>87,0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 xml:space="preserve">10. </w:t>
      </w:r>
      <w:r>
        <w:rPr>
          <w:rFonts w:ascii="Liberation Serif" w:hAnsi="Liberation Serif"/>
          <w:b/>
          <w:spacing w:val="1"/>
          <w:shd w:fill="auto" w:val="clear"/>
        </w:rPr>
        <w:t xml:space="preserve">Доля детей в возрасте 1-6 лет, состоящих на учете для определения в муниципальные </w:t>
      </w:r>
      <w:r>
        <w:rPr>
          <w:rFonts w:ascii="Liberation Serif" w:hAnsi="Liberation Serif"/>
          <w:b/>
          <w:spacing w:val="6"/>
          <w:shd w:fill="auto" w:val="clear"/>
        </w:rPr>
        <w:t>дошкольные образовательные учреждения, в общей численности детей в возрасте 1-6 лет.</w:t>
      </w:r>
    </w:p>
    <w:p>
      <w:pPr>
        <w:pStyle w:val="Normal"/>
        <w:suppressAutoHyphens w:val="true"/>
        <w:ind w:firstLine="709"/>
        <w:rPr>
          <w:rFonts w:ascii="Liberation Serif" w:hAnsi="Liberation Serif"/>
          <w:color w:val="000000"/>
          <w:spacing w:val="6"/>
        </w:rPr>
      </w:pPr>
      <w:r>
        <w:rPr>
          <w:rFonts w:ascii="Liberation Serif" w:hAnsi="Liberation Serif"/>
          <w:color w:val="000000"/>
          <w:spacing w:val="6"/>
          <w:shd w:fill="auto" w:val="clear"/>
        </w:rPr>
        <w:t>На 01.01.2026 года доля детей, состоящих на учете для определения в муниципальные дошкольные образовательные учреждения, составляет 2,2 %</w:t>
      </w:r>
    </w:p>
    <w:p>
      <w:pPr>
        <w:pStyle w:val="Normal"/>
        <w:suppressAutoHyphens w:val="true"/>
        <w:rPr>
          <w:rFonts w:ascii="Liberation Serif" w:hAnsi="Liberation Serif"/>
          <w:color w:val="000000"/>
          <w:spacing w:val="6"/>
        </w:rPr>
      </w:pPr>
      <w:r>
        <w:rPr>
          <w:rFonts w:ascii="Liberation Serif" w:hAnsi="Liberation Serif"/>
          <w:color w:val="000000"/>
          <w:spacing w:val="6"/>
        </w:rPr>
      </w:r>
    </w:p>
    <w:tbl>
      <w:tblPr>
        <w:tblStyle w:val="16"/>
        <w:tblW w:w="100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98"/>
        <w:gridCol w:w="1179"/>
        <w:gridCol w:w="794"/>
        <w:gridCol w:w="784"/>
        <w:gridCol w:w="964"/>
        <w:gridCol w:w="781"/>
        <w:gridCol w:w="787"/>
        <w:gridCol w:w="771"/>
      </w:tblGrid>
      <w:tr>
        <w:trPr/>
        <w:tc>
          <w:tcPr>
            <w:tcW w:w="399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Наименование показателя</w:t>
            </w:r>
          </w:p>
        </w:tc>
        <w:tc>
          <w:tcPr>
            <w:tcW w:w="11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Единица измерения</w:t>
            </w:r>
          </w:p>
        </w:tc>
        <w:tc>
          <w:tcPr>
            <w:tcW w:w="7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2023</w:t>
            </w:r>
          </w:p>
        </w:tc>
        <w:tc>
          <w:tcPr>
            <w:tcW w:w="7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2024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2025</w:t>
            </w:r>
          </w:p>
        </w:tc>
        <w:tc>
          <w:tcPr>
            <w:tcW w:w="78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2026</w:t>
            </w:r>
          </w:p>
        </w:tc>
        <w:tc>
          <w:tcPr>
            <w:tcW w:w="787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202</w:t>
            </w: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7</w:t>
            </w:r>
          </w:p>
        </w:tc>
        <w:tc>
          <w:tcPr>
            <w:tcW w:w="7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rPr>
                <w:rFonts w:ascii="Liberation Serif" w:hAnsi="Liberation Serif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0"/>
                <w:szCs w:val="20"/>
                <w:shd w:fill="auto" w:val="clear"/>
              </w:rPr>
              <w:t>2028</w:t>
            </w:r>
          </w:p>
        </w:tc>
      </w:tr>
      <w:tr>
        <w:trPr/>
        <w:tc>
          <w:tcPr>
            <w:tcW w:w="399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Численность детей от 1 до 6 лет в Малышевском муниципальном округе</w:t>
            </w:r>
          </w:p>
        </w:tc>
        <w:tc>
          <w:tcPr>
            <w:tcW w:w="11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человек</w:t>
            </w:r>
          </w:p>
        </w:tc>
        <w:tc>
          <w:tcPr>
            <w:tcW w:w="7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495</w:t>
            </w:r>
          </w:p>
        </w:tc>
        <w:tc>
          <w:tcPr>
            <w:tcW w:w="7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606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527</w:t>
            </w:r>
          </w:p>
        </w:tc>
        <w:tc>
          <w:tcPr>
            <w:tcW w:w="78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484</w:t>
            </w:r>
          </w:p>
        </w:tc>
        <w:tc>
          <w:tcPr>
            <w:tcW w:w="787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440</w:t>
            </w:r>
          </w:p>
        </w:tc>
        <w:tc>
          <w:tcPr>
            <w:tcW w:w="7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437</w:t>
            </w:r>
          </w:p>
        </w:tc>
      </w:tr>
      <w:tr>
        <w:trPr/>
        <w:tc>
          <w:tcPr>
            <w:tcW w:w="399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Численность детей в возрасте от 1 до 6 лет, состоящих на учете для определения в муниципальные дошкольные образовательные учреждения</w:t>
            </w:r>
          </w:p>
        </w:tc>
        <w:tc>
          <w:tcPr>
            <w:tcW w:w="11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человек</w:t>
            </w:r>
          </w:p>
        </w:tc>
        <w:tc>
          <w:tcPr>
            <w:tcW w:w="7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30</w:t>
            </w:r>
          </w:p>
        </w:tc>
        <w:tc>
          <w:tcPr>
            <w:tcW w:w="7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31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12</w:t>
            </w:r>
          </w:p>
        </w:tc>
        <w:tc>
          <w:tcPr>
            <w:tcW w:w="78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11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rFonts w:ascii="Liberation Serif" w:hAnsi="Liberation Serif"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  <w:shd w:fill="auto" w:val="clear"/>
              </w:rPr>
            </w:r>
          </w:p>
        </w:tc>
        <w:tc>
          <w:tcPr>
            <w:tcW w:w="787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10</w:t>
            </w:r>
          </w:p>
        </w:tc>
        <w:tc>
          <w:tcPr>
            <w:tcW w:w="7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10</w:t>
            </w:r>
          </w:p>
        </w:tc>
      </w:tr>
      <w:tr>
        <w:trPr/>
        <w:tc>
          <w:tcPr>
            <w:tcW w:w="399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spacing w:val="1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 xml:space="preserve">Доля детей в возрасте 1-6 лет, состоящих на учете для определения в муниципальные </w:t>
            </w:r>
            <w:r>
              <w:rPr>
                <w:rFonts w:eastAsia="Times New Roman" w:cs="Times New Roman" w:ascii="Liberation Serif" w:hAnsi="Liberation Serif"/>
                <w:color w:val="000000"/>
                <w:spacing w:val="6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дошкольные образовательные учреждения, в общей численности детей в возрасте 1-6 лет</w:t>
            </w:r>
          </w:p>
        </w:tc>
        <w:tc>
          <w:tcPr>
            <w:tcW w:w="11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процент</w:t>
            </w:r>
          </w:p>
        </w:tc>
        <w:tc>
          <w:tcPr>
            <w:tcW w:w="79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6,1</w:t>
            </w:r>
          </w:p>
        </w:tc>
        <w:tc>
          <w:tcPr>
            <w:tcW w:w="78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5,12</w:t>
            </w:r>
          </w:p>
        </w:tc>
        <w:tc>
          <w:tcPr>
            <w:tcW w:w="96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2,2</w:t>
            </w:r>
          </w:p>
        </w:tc>
        <w:tc>
          <w:tcPr>
            <w:tcW w:w="78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2,2</w:t>
            </w:r>
          </w:p>
        </w:tc>
        <w:tc>
          <w:tcPr>
            <w:tcW w:w="787" w:type="dxa"/>
            <w:tcBorders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imes New Roman" w:cs="Times New Roman" w:ascii="Liberation Serif" w:hAnsi="Liberation Serif"/>
                <w:color w:val="000000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2,2</w:t>
            </w:r>
          </w:p>
        </w:tc>
        <w:tc>
          <w:tcPr>
            <w:tcW w:w="77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hanging="27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2,2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spacing w:val="-1"/>
        </w:rPr>
      </w:pPr>
      <w:r>
        <w:rPr>
          <w:rFonts w:ascii="Liberation Serif" w:hAnsi="Liberation Serif"/>
          <w:b/>
          <w:spacing w:val="-1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pacing w:val="-1"/>
          <w:shd w:fill="auto" w:val="clear"/>
        </w:rPr>
        <w:t xml:space="preserve">11. Доля муниципальных дошкольных образовательных учреждений, здания которых </w:t>
      </w:r>
      <w:r>
        <w:rPr>
          <w:rFonts w:ascii="Liberation Serif" w:hAnsi="Liberation Serif"/>
          <w:b/>
          <w:shd w:fill="auto" w:val="clear"/>
        </w:rPr>
        <w:t xml:space="preserve">находятся в аварийном состоянии или требуют капитального ремонта, в общем числе </w:t>
      </w:r>
      <w:r>
        <w:rPr>
          <w:rFonts w:ascii="Liberation Serif" w:hAnsi="Liberation Serif"/>
          <w:b/>
          <w:spacing w:val="-1"/>
          <w:shd w:fill="auto" w:val="clear"/>
        </w:rPr>
        <w:t>муниципальных дошкольных образовательных учреждений</w:t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  <w:t xml:space="preserve">В аварийном состоянии зданий нет. </w:t>
      </w:r>
    </w:p>
    <w:p>
      <w:pPr>
        <w:pStyle w:val="Normal"/>
        <w:suppressAutoHyphens w:val="true"/>
        <w:ind w:firstLine="709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i/>
          <w:iCs/>
          <w:shd w:fill="auto" w:val="clear"/>
        </w:rPr>
        <w:t xml:space="preserve"> </w:t>
      </w:r>
      <w:r>
        <w:rPr>
          <w:rFonts w:ascii="Liberation Serif" w:hAnsi="Liberation Serif"/>
          <w:b/>
          <w:bCs/>
          <w:i/>
          <w:iCs/>
          <w:shd w:fill="auto" w:val="clear"/>
        </w:rPr>
        <w:t>Общее и дополнительное образование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center"/>
        <w:rPr>
          <w:rFonts w:ascii="Liberation Serif" w:hAnsi="Liberation Serif"/>
          <w:b/>
          <w:b/>
          <w:bCs/>
          <w:i/>
          <w:i/>
          <w:iCs/>
          <w:highlight w:val="yellow"/>
        </w:rPr>
      </w:pPr>
      <w:r>
        <w:rPr>
          <w:rFonts w:ascii="Liberation Serif" w:hAnsi="Liberation Serif"/>
          <w:b/>
          <w:bCs/>
          <w:i/>
          <w:iCs/>
          <w:highlight w:val="yellow"/>
        </w:rPr>
      </w:r>
    </w:p>
    <w:p>
      <w:pPr>
        <w:pStyle w:val="Normal"/>
        <w:ind w:right="0" w:firstLine="709"/>
        <w:jc w:val="both"/>
        <w:rPr>
          <w:rFonts w:ascii="Liberation Serif;Times New Roman" w:hAnsi="Liberation Serif;Times New Roman" w:cs="Liberation Serif;Times New Roman"/>
          <w:color w:val="000000"/>
          <w:sz w:val="24"/>
          <w:szCs w:val="24"/>
          <w:highlight w:val="none"/>
          <w:u w:val="none"/>
          <w:shd w:fill="auto" w:val="clear"/>
        </w:rPr>
      </w:pPr>
      <w:r>
        <w:rPr>
          <w:rFonts w:cs="Liberation Serif;Times New Roman" w:ascii="Liberation Serif" w:hAnsi="Liberation Serif"/>
          <w:bCs/>
          <w:color w:val="000000"/>
          <w:sz w:val="24"/>
          <w:szCs w:val="24"/>
          <w:u w:val="none"/>
          <w:shd w:fill="auto" w:val="clear"/>
        </w:rPr>
        <w:t xml:space="preserve">В Малышевском муниципальном округе осуществляют деятельность 7 муниципальных образовательных учреждений: 3 общеобразовательных учреждения, в том числе 1 школа–сад, 3 дошкольных образовательных учреждения, 1 учреждения дополнительного образования. 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09"/>
        <w:jc w:val="center"/>
        <w:rPr>
          <w:rFonts w:ascii="Liberation Serif" w:hAnsi="Liberation Serif"/>
          <w:b/>
          <w:b/>
          <w:bCs/>
          <w:i/>
          <w:i/>
          <w:iCs/>
        </w:rPr>
      </w:pPr>
      <w:r>
        <w:rPr>
          <w:rFonts w:ascii="Liberation Serif" w:hAnsi="Liberation Serif"/>
          <w:b/>
          <w:bCs/>
          <w:i/>
          <w:iCs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12. Доля выпускников муниципальных общеобразовательных учреждений, не получивших аттестат о среднем общем образовании, в общей численности выпускников муниципальных общеобразовательных учреждений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В 2025 году аттестаты о среднем (полном) общем образовании получили все выпускники. 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Прогнозируемые значения на 3-летний период составляют: 2026 год – 0 человек, 2027 год – 0 человек, 2028 год – 0 человек. 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shd w:fill="auto" w:val="clear"/>
        </w:rPr>
        <w:t>Достижение  целевых показателей планируется за счет исполнения мероприятий, обеспечивающих реализацию основных направлений муниципальной программы «Развитие системы образования в Малышевском городском округе до 2028 года», утвержденной постановлением главы Малышевского муниципального округа от 23.08.2021г. № 433 - ПГ  (с изменениями и дополнениями), в том числе: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1) обеспечение доступности качественного образования, соответствующего требованиям социально-экономического развития Малышевского муниципального округа;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2) создание условий для сохранения здоровья и развития детей в Малышевском муниципальном округе;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3) обновление системы развития педагогических кадров;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4) комплексное развитие и совершенствование системы патриотического воспитания граждан на территории Малышевского муниципального округа, направленное на создание условий для повышения гражданской ответственности, повышения уровня консолидации общества для устойчивого развития Российской Федерации и воспитания граждан, имеющих активную гражданскую позицию;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5) обеспечение исполнения полномочий в сфере образования;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6)достижение целей национального проекта «Образование» и с 01.01.2025 года национального проекта «Молодежь и дети» на территории Малышевского муниципального округа;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7) обеспечение государственных гарантий прав граждан на получение общедоступного и бесплатного дошкольного образования в дошкольных образовательных учреждениях;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8) создание условий, направленных на вовлечение детей и молодежи в деятельность по профилактике дорожно-транспортного травматизма;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rFonts w:ascii="Liberation Serif" w:hAnsi="Liberation Serif"/>
        </w:rPr>
      </w:pPr>
      <w:r>
        <w:rPr>
          <w:rFonts w:ascii="Liberation Serif" w:hAnsi="Liberation Serif"/>
          <w:shd w:fill="auto" w:val="clear"/>
        </w:rPr>
        <w:t>9) формирование информационно-телекоммуникационной инфраструктуры в муниципальных общеобразовательных учреждениях Малышевского муниципального округа для обеспечения</w:t>
      </w:r>
      <w:r>
        <w:rPr>
          <w:rFonts w:ascii="Liberation Serif" w:hAnsi="Liberation Serif"/>
          <w:highlight w:val="yellow"/>
        </w:rPr>
        <w:t xml:space="preserve"> </w:t>
      </w:r>
      <w:r>
        <w:rPr>
          <w:rFonts w:ascii="Liberation Serif" w:hAnsi="Liberation Serif"/>
          <w:shd w:fill="auto" w:val="clear"/>
        </w:rPr>
        <w:t>в помещениях безопасного доступа к государственным, муниципальным и иным информационным системам, а также к информационно-телекоммуникационной сети «Интернет».</w:t>
      </w:r>
    </w:p>
    <w:p>
      <w:pPr>
        <w:pStyle w:val="Normal"/>
        <w:tabs>
          <w:tab w:val="clear" w:pos="708"/>
          <w:tab w:val="left" w:pos="284" w:leader="none"/>
        </w:tabs>
        <w:ind w:firstLine="709"/>
        <w:rPr>
          <w:rFonts w:ascii="Liberation Serif" w:hAnsi="Liberation Serif"/>
          <w:bCs/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13. 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yellow"/>
        </w:rPr>
      </w:pPr>
      <w:r>
        <w:rPr>
          <w:rFonts w:ascii="Liberation Serif" w:hAnsi="Liberation Serif"/>
          <w:b/>
          <w:bCs/>
          <w:highlight w:val="yellow"/>
        </w:rPr>
      </w:r>
    </w:p>
    <w:p>
      <w:pPr>
        <w:pStyle w:val="Normal"/>
        <w:suppressAutoHyphens w:val="true"/>
        <w:ind w:firstLine="709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shd w:fill="auto" w:val="clear"/>
        </w:rPr>
        <w:t>Под современными требованиями обучения понимается использование общеобразовательными учреждениями электронного и дистанционного обучения, реализация инновационных технологий обучения. В 2024 году 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составляла 100 %. Прогноз на 2026, 2027, 2028 годы – 100 %.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pacing w:val="-1"/>
          <w:shd w:fill="auto" w:val="clear"/>
        </w:rPr>
        <w:t>Поддержание показателя на максимальном уровне планируется за счет систематического совершенствования материально-технической базы образовательных учреждений: открытие центров «Точка роста», осуществляющих образовательную деятельность по основным и дополнительным общеобразовательным программам, создание условий для внедрения новых методов обучения и воспитания, обеспечение образовательными технологиями для освоения обучающимися основных и дополнительных общеобразовательных программ цифрового, естественнонаучного, технического и гуманитарного профилей,  100 % обеспеченность учебниками, широкополосный интернет, совершенствование методов обучения и многое другое.</w:t>
      </w:r>
    </w:p>
    <w:p>
      <w:pPr>
        <w:pStyle w:val="Normal"/>
        <w:ind w:firstLine="709"/>
        <w:rPr>
          <w:rFonts w:ascii="Liberation Serif" w:hAnsi="Liberation Serif"/>
          <w:b/>
          <w:b/>
          <w:spacing w:val="-1"/>
          <w:highlight w:val="none"/>
          <w:shd w:fill="FFFF00" w:val="clear"/>
        </w:rPr>
      </w:pPr>
      <w:r>
        <w:rPr>
          <w:rFonts w:ascii="Liberation Serif" w:hAnsi="Liberation Serif"/>
          <w:b/>
          <w:spacing w:val="-1"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pacing w:val="-1"/>
          <w:shd w:fill="auto" w:val="clear"/>
        </w:rPr>
        <w:t xml:space="preserve">14. Доля муниципальных общеобразовательных учреждений, здания которых </w:t>
      </w:r>
      <w:r>
        <w:rPr>
          <w:rFonts w:ascii="Liberation Serif" w:hAnsi="Liberation Serif"/>
          <w:b/>
          <w:shd w:fill="auto" w:val="clear"/>
        </w:rPr>
        <w:t>находятся в аварийном состоянии или требуют капитального ремонта, в общем количестве муниципальных общеобразовательных учреждений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  <w:t xml:space="preserve">В аварийном состоянии зданий нет. 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15. Доля детей первой и второй групп здоровья в общей численности обучающихся в муниципальных общеобразовательных учреждениях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yellow"/>
        </w:rPr>
      </w:pPr>
      <w:r>
        <w:rPr>
          <w:rFonts w:ascii="Liberation Serif" w:hAnsi="Liberation Serif"/>
          <w:b/>
          <w:bCs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  <w:t>В 2025 году доля детей первой и второй групп здоровья в общей численности обучающихся в муниципальных общеобразовательных учреждениях составила 70 %.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  <w:t>Прогнозируемые значения доли детей первой и второй групп здоровья в общей численности обучающихся в муниципальных общеобразовательных учреждениях на 3-летний период составляют: 2026 - 70,0%, 2027 – 70,0%., 2028- 72,0%.</w:t>
      </w:r>
    </w:p>
    <w:p>
      <w:pPr>
        <w:pStyle w:val="Normal"/>
        <w:ind w:firstLine="709"/>
        <w:rPr>
          <w:rFonts w:ascii="Liberation Serif" w:hAnsi="Liberation Serif"/>
          <w:bCs/>
        </w:rPr>
      </w:pPr>
      <w:r>
        <w:rPr>
          <w:rFonts w:ascii="Liberation Serif" w:hAnsi="Liberation Serif"/>
          <w:bCs/>
          <w:shd w:fill="auto" w:val="clear"/>
        </w:rPr>
        <w:t>Увеличение доли детей (сохранение уровня предыдущего периода), имеющих первую группу и вторую группу здоровья, планируется за счет реализации мероприятий муниципальной целевой программы «Развитие системы образования в Малышевском городском округе до 2028 года»,</w:t>
      </w:r>
      <w:r>
        <w:rPr>
          <w:rFonts w:ascii="Liberation Serif" w:hAnsi="Liberation Serif"/>
          <w:bCs/>
          <w:highlight w:val="yellow"/>
        </w:rPr>
        <w:t xml:space="preserve"> </w:t>
      </w:r>
      <w:r>
        <w:rPr>
          <w:rFonts w:ascii="Liberation Serif" w:hAnsi="Liberation Serif"/>
          <w:bCs/>
          <w:shd w:fill="auto" w:val="clear"/>
        </w:rPr>
        <w:t>утвержденной постановлением главы Малышевского муниципального округа от 23.08.2021г. № 433 - ПГ (с изменениями и дополнениями), организации летней оздоровительной кампании в соответствии с постановлением главы Малышевского муниципального округа от 21.01.2025 года № 34-ПГ «Об организации отдыха детей в каникулярное время, включая мероприятия по обеспечению безопасности их жизни и здоровья, на территории Малышевского городского округа в 2025 году».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16. 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Cs/>
          <w:shd w:fill="auto" w:val="clear"/>
        </w:rPr>
        <w:t>В 2025 году-0% (2024 году-0 %), прогноз на 2026-0 %, на 2027 год-0 %, на 2028 год-0%.</w:t>
      </w:r>
    </w:p>
    <w:p>
      <w:pPr>
        <w:pStyle w:val="Normal"/>
        <w:suppressAutoHyphens w:val="true"/>
        <w:ind w:firstLine="709"/>
        <w:rPr>
          <w:rFonts w:ascii="Liberation Serif" w:hAnsi="Liberation Serif"/>
          <w:b/>
          <w:b/>
          <w:bCs/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17. Расходы бюджета муниципального образования на общее образование в расчете на 1 обучающего в муниципальных общеобразовательных учреждениях</w:t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расчете на 1 обучающегося расходы составили в 2024 году- 52,31 тыс. рублей, в 2025 году – 57,43 тыс. руб.  </w:t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Плановые и прогнозные значения составляют (в тыс. рублей): 2026 год – 57,43 тыс. руб.; 2027 год – 57,43; 2028 год – 57,43 тыс. руб.</w:t>
      </w:r>
    </w:p>
    <w:p>
      <w:pPr>
        <w:pStyle w:val="Normal"/>
        <w:rPr/>
      </w:pPr>
      <w:r>
        <w:rPr/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 xml:space="preserve"> </w:t>
      </w:r>
      <w:r>
        <w:rPr>
          <w:rFonts w:ascii="Liberation Serif" w:hAnsi="Liberation Serif"/>
          <w:sz w:val="24"/>
          <w:shd w:fill="auto" w:val="clear"/>
        </w:rPr>
        <w:t>18.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</w:r>
    </w:p>
    <w:p>
      <w:pPr>
        <w:pStyle w:val="BodyTextIndent2"/>
        <w:ind w:firstLine="709"/>
        <w:rPr>
          <w:rFonts w:ascii="Liberation Serif" w:hAnsi="Liberation Serif"/>
          <w:sz w:val="24"/>
          <w:highlight w:val="yellow"/>
        </w:rPr>
      </w:pPr>
      <w:r>
        <w:rPr>
          <w:rFonts w:ascii="Liberation Serif" w:hAnsi="Liberation Serif"/>
          <w:sz w:val="24"/>
          <w:highlight w:val="yellow"/>
        </w:rPr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Удельный вес детей в возрасте от 5 – 18 лет, получающих услуги по дополнительному образованию в организациях различной организационно – правовой формы и формы собственности, в общей численности детей данной возрастной группы: в 2025-65 %, 2024 годах составил 64,73%.</w:t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Прогнозируемые значения на 3 - летний период составляют: 2026 год — 68%, 2027 год — 70%, 2028 год — 72%.</w:t>
      </w:r>
    </w:p>
    <w:p>
      <w:pPr>
        <w:pStyle w:val="Normal"/>
        <w:suppressAutoHyphens w:val="true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Достижение  целевых показателей планируется за счет исполнения мероприятий,  предусмотренных муниципальной программой «Развитие системы образования в Малышевском городском округе до 2028 года», утвержденной  постановлением главы Малышевского муниципального округа от </w:t>
      </w:r>
      <w:r>
        <w:rPr>
          <w:rFonts w:cs="Liberation Serif" w:ascii="Liberation Serif" w:hAnsi="Liberation Serif"/>
          <w:shd w:fill="auto" w:val="clear"/>
        </w:rPr>
        <w:t>23.08.2021г. № 433 - ПГ.</w:t>
      </w:r>
    </w:p>
    <w:p>
      <w:pPr>
        <w:pStyle w:val="BodyTextIndent2"/>
        <w:suppressAutoHyphens w:val="true"/>
        <w:ind w:firstLine="709"/>
        <w:rPr>
          <w:rFonts w:ascii="Liberation Serif" w:hAnsi="Liberation Serif"/>
          <w:sz w:val="24"/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</w:r>
    </w:p>
    <w:p>
      <w:pPr>
        <w:pStyle w:val="Normal"/>
        <w:ind w:firstLine="851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Культура</w:t>
      </w:r>
    </w:p>
    <w:p>
      <w:pPr>
        <w:pStyle w:val="Normal"/>
        <w:ind w:firstLine="851"/>
        <w:jc w:val="center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eastAsia="Calibri" w:ascii="Liberation Serif" w:hAnsi="Liberation Serif"/>
          <w:color w:val="000000"/>
          <w:shd w:fill="auto" w:val="clear"/>
        </w:rPr>
        <w:t>В Малышевском муниципальном округе функционирует 1 учреждение культурно-досугового типа – Муниципальное автономное учреждение культуры Малышевский Дворец культуры «Русь», библиотечное обслуживание жителей Малышевского муниципального округа осуществляет</w:t>
      </w:r>
      <w:r>
        <w:rPr>
          <w:rFonts w:eastAsia="Calibri" w:ascii="Liberation Serif" w:hAnsi="Liberation Serif"/>
          <w:b/>
          <w:color w:val="000000"/>
          <w:shd w:fill="auto" w:val="clear"/>
        </w:rPr>
        <w:t xml:space="preserve"> </w:t>
      </w:r>
      <w:r>
        <w:rPr>
          <w:rFonts w:eastAsia="Calibri" w:ascii="Liberation Serif" w:hAnsi="Liberation Serif"/>
          <w:bCs/>
          <w:color w:val="000000"/>
          <w:shd w:fill="auto" w:val="clear"/>
        </w:rPr>
        <w:t>муниципальное бюджетное учреждение культуры «Библиотека Малышевского муниципального округа».</w:t>
      </w:r>
    </w:p>
    <w:p>
      <w:pPr>
        <w:pStyle w:val="Normal"/>
        <w:ind w:firstLine="709"/>
        <w:rPr>
          <w:rFonts w:ascii="Liberation Serif" w:hAnsi="Liberation Serif" w:eastAsia="Calibri"/>
          <w:b/>
          <w:b/>
          <w:color w:val="000000"/>
        </w:rPr>
      </w:pPr>
      <w:r>
        <w:rPr>
          <w:rFonts w:eastAsia="Calibri" w:ascii="Liberation Serif" w:hAnsi="Liberation Serif"/>
          <w:b/>
          <w:color w:val="000000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19. Уровень фактической обеспеченности учреждениями культуры от нормативной потребности (процентов):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  <w:b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клубами и учреждениями клубного типа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Согласно сетевым показателям, установленным Министерством культуры Свердловской области, нормативная потребность в клубах и учреждениях клубного типа в Малышевском муниципальном округе составляет 1 единица.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Фактическое обеспечение учреждений данного типа в Малышевском муниципальном округе: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2021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2022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2023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2024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2025 год - 1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2026 год - 1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2027 год - 1 единица, что составляет 100 %;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2028 год - 1 единица, что составляет 100%.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shd w:fill="auto" w:val="clear"/>
        </w:rPr>
        <w:t>библиотеками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  <w:b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Нормативная потребность в библиотеках в Малышевском муниципальном округе составляет 1 единица.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Фактическое обеспечение учреждениями данного типа в Малышевском муниципальном округе: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2021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2022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2023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2024 год –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2025 год - 1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2026 год - 1 единица, что составляет 100%;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2027 год - 1 единица, что составляет 100%;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2028 год - 1 единица, что составляет 100%.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парками культуры и отдыха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  <w:b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Нормативная потребность в парках культуры и отдыха в Малышевском муниципальном округе составляет 0 единиц. Фактическая обеспеченность учреждениями данного типа в Малышевском муниципальном округе: 0 единиц, что составляет 100%.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Густонаселенные территории Малышевского муниципального округа занимают незначительную площадь. При этом городской округ расположен в экологически чистой и уникальной по своим рекреационным характеристикам природной полосе. На территории округа расположены ботанические памятники природы: Малышевский естественный кедровник, Липовая роща, гидрологические памятники природы - озеро Чёрное с прилегающими лесами, болото Чёрное.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20.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Из двух учреждений культуры Малышевского муниципального округа капитальный ремонт необходим зданию Муниципального автономного учреждения культуры Малышевский Дворец культуры «Русь», что составляет 50 % от общего количества. </w:t>
      </w:r>
    </w:p>
    <w:p>
      <w:pPr>
        <w:pStyle w:val="Normal"/>
        <w:ind w:firstLine="709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highlight w:val="yellow"/>
        </w:rPr>
        <w:t xml:space="preserve"> 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 xml:space="preserve">21. Доля объектов культурного наследия, находящихся </w:t>
        <w:br/>
        <w:t>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</w:r>
    </w:p>
    <w:p>
      <w:pPr>
        <w:pStyle w:val="Normal"/>
        <w:numPr>
          <w:ilvl w:val="0"/>
          <w:numId w:val="0"/>
        </w:numPr>
        <w:ind w:left="0" w:firstLine="709"/>
        <w:outlineLvl w:val="0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На территории Малышевского муниципального округа объектов культурного наследия не зарегистрировано.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</w:p>
    <w:p>
      <w:pPr>
        <w:pStyle w:val="Normal"/>
        <w:ind w:firstLine="709"/>
        <w:jc w:val="center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Физическая культура и спорт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  <w:b/>
          <w:highlight w:val="yellow"/>
        </w:rPr>
      </w:r>
    </w:p>
    <w:p>
      <w:pPr>
        <w:pStyle w:val="Normal"/>
        <w:tabs>
          <w:tab w:val="clear" w:pos="708"/>
          <w:tab w:val="left" w:pos="1560" w:leader="none"/>
        </w:tabs>
        <w:ind w:firstLine="709"/>
        <w:rPr>
          <w:highlight w:val="none"/>
          <w:shd w:fill="auto" w:val="clear"/>
        </w:rPr>
      </w:pPr>
      <w:r>
        <w:rPr>
          <w:rFonts w:eastAsia="Calibri" w:ascii="Liberation Serif" w:hAnsi="Liberation Serif"/>
          <w:color w:val="000000"/>
          <w:shd w:fill="auto" w:val="clear"/>
        </w:rPr>
        <w:t>На территории Малышевского муниципального округа функционирует 1 учреждение физической культуры и спорта – Муниципальное автономное учреждение физической культуры и спорта Малышевский дворец спорта «Рубин».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22. Доля населения, систематически занимающегося физической культурой и спортом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  <w:b/>
          <w:highlight w:val="yellow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2021 год – 24,60%; 2022 год – 52,20%; 2023 год – 56,00%; 2024 год – 62,4 %; 2025 год – 71,30; 2026 год – 71,40; 2027 год – 71,50; 2028 год — 71,60.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>На базе учреждения функционировали 18 групп по спортивно - оздоровительной направленности (СОГ): футбол, волейбол, баскетбол, плавание, бокс, легкая атлетика (бег, спортивная ходьба), фитнес для подростков, пулевая стрельба, пауэрлифтинг и 3 группы по физкультурно-оздоровительной направленности (ФОГ): для детей дошкольного возраста и группы для лиц старшего возраста. Зачислено 218 человек в спортивно-оздоровительные группы (далее СОГ) и физкультурно-оздоровительные группы (ФОГ) по видам спорта.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 xml:space="preserve">В плавательном бассейне организованы спортивно-оздоровительные группы по обучению плаванию детей с 7 лет. В спортивно-оздоровительных группах занимается – 63 человека. Воспитанники старших групп принимают участие в межмуниципальных соревнованиях. 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 xml:space="preserve">В спортивно-оздоровительных группах по боксу занимается 24 человека. Воспитанники по боксу выступают на городских и областных соревнованиях, занимают призовые места. 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 xml:space="preserve">15 человек занимаются легкой атлетикой (бег, спортивная ходьба), показывают отличные результаты, являются победителями и призерами в соревнованиях   различного уровня. 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>В спортивно - оздоровительных группах по футболу занимаются дети с 6 лет и старше. Общее число занимающихся составляет 69 человек. Команды принимают участие в товарищеских встречах с командами ДЮСШ г. Асбест, соревнованиях областного уровня по футболу в футзалах. Команды занимают призовые места.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>В Учреждении продолжает работать физкультурно-оздоровительная группа с лицами пожилого возраста. Приоритетным направлением, которой является укрепление и поддержание здоровья. В группе занимаются женщины от 55 и старше лет. Общее число занимающихся составляет 50 человек. Ежегодно проводятся конкурсные программы «Супербабушки», «А ну-ка Бабушки», «Веселые старты» и спортивный праздник, посвящённый дню пожилого человека.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>Не остаются без внимания и дети 5-6 лет. Для них организована детская оздоровительная группа, основным направлением которой является формирование у детей начальных представлений о здоровом образе жизни, обеспечение гармоничного физического развития, совершенствование умений и навыков в основных видах движений.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>Для населения Малышевского муниципального округа ДС «Рубин» предоставляет следующие платные услуги – возмездное пользование имуществом (настольный теннис, коньки, лыжи, тренажерный зал, фитнес зал, зал бокса, большой зал, балкон), оказание платных услуг в бассейне.</w:t>
      </w:r>
    </w:p>
    <w:p>
      <w:pPr>
        <w:pStyle w:val="Normal"/>
        <w:ind w:firstLine="709"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 xml:space="preserve">Ежегодно на территории Малышевского муниципального округа разрабатывается и утверждается календарный план спортивно-массовых и физкультурно-оздоровительных мероприятий. </w:t>
      </w:r>
    </w:p>
    <w:p>
      <w:pPr>
        <w:pStyle w:val="Normal"/>
        <w:spacing w:before="0" w:after="0"/>
        <w:ind w:firstLine="709"/>
        <w:contextualSpacing/>
        <w:rPr>
          <w:sz w:val="24"/>
          <w:szCs w:val="24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4"/>
          <w:szCs w:val="24"/>
          <w:shd w:fill="auto" w:val="clear"/>
        </w:rPr>
        <w:t xml:space="preserve">В 2025 году проведено 63 спортивно-физкультурное мероприятие (соревнования по пулевой стрельбе, баскетболу, волейболу, футболу, дартсу, настольному теннис, открытый турнир по боксу и т.д.), что является допустимым значением, и входит, в допустимый показатель 5% (-1,6%) отклонения от планового показателя в 64 мероприятия. На данный показатель повлияло то, что во II квартале не было проведено мероприятие (Традиционная легкоатлетическая эстафета, посвященная празднику Весны и Труда 01.05.2025 г.) по причине отсутствия паспорта безопасности стадиона. </w:t>
      </w:r>
    </w:p>
    <w:p>
      <w:pPr>
        <w:pStyle w:val="Normal"/>
        <w:ind w:firstLine="709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shd w:fill="auto" w:val="clear"/>
        </w:rPr>
        <w:t>ДС «Рубин» является центром тестирования Всероссийского физкультурно-спортивного комплекса «Готов к труду и обороне» (ВФСК «ГТО»). В 2025 году в сдаче нормативов ГТО приняло участие 250 человек.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В 2025 году возобновлена работа с дошкольными учреждениями ММО, в рамках этого сотрудничества предоставлена возможность заниматься в большом спортивном зале Дворца спорта «Рубин» и в плавательном бассейне.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6"/>
          <w:szCs w:val="26"/>
          <w:shd w:fill="auto" w:val="clear"/>
        </w:rPr>
        <w:t>За 2025 год в рамках патриотического воспитания молодежи ММО были проведены мероприятия ВФСК «ГТО», Военизированная эстафета «Зарница», «Российский азимут», «Робинзонада», военно-спортивная спартакиада допризывной молодежи «Казачья Русь» и пятые Малышевские военно-спортивные игры совместно с НКО ХКО «Хутор Изумрудный» и Малышевским отделением ООО РСВА и СВО и др. Охват детей, подростков и молодежи военно-патриотическими, физкультурно - оздоровительными мероприятиями  в 2025 году составил 423 человека.</w:t>
      </w:r>
    </w:p>
    <w:p>
      <w:pPr>
        <w:pStyle w:val="Normal"/>
        <w:ind w:firstLine="709"/>
        <w:rPr>
          <w:color w:val="000000"/>
          <w:sz w:val="26"/>
          <w:szCs w:val="26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6"/>
          <w:szCs w:val="26"/>
          <w:shd w:fill="auto" w:val="clear"/>
        </w:rPr>
        <w:t>За 2025 год проведено 11 физкультурных и спортивных мероприятий (прием нормативов ГТО) в рамках Всероссийского комплекса «Готов к труду и обороне» (ГТО), что составляет 100% от годового плана.</w:t>
      </w:r>
    </w:p>
    <w:p>
      <w:pPr>
        <w:pStyle w:val="Normal"/>
        <w:ind w:firstLine="709"/>
        <w:rPr>
          <w:color w:val="000000"/>
          <w:sz w:val="26"/>
          <w:szCs w:val="26"/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z w:val="26"/>
          <w:szCs w:val="26"/>
        </w:rPr>
        <w:t xml:space="preserve">Ежегодно в ДС «Рубин» проводятся мероприятия для детей с ограниченными возможностями здоровья. В 2025 году проведено спортивное мероприятие «Мы вместе!» для детей с ограниченными возможностями здоровья в рамках Декады милосердия, участие в котором приняли 16 человек (2024 г. – 19 человек). Все участники соревнования были отмечены призами. </w:t>
      </w:r>
    </w:p>
    <w:p>
      <w:pPr>
        <w:pStyle w:val="Normal"/>
        <w:ind w:firstLine="709"/>
        <w:rPr>
          <w:color w:val="000000"/>
          <w:sz w:val="26"/>
          <w:szCs w:val="26"/>
          <w:highlight w:val="none"/>
          <w:shd w:fill="auto" w:val="clear"/>
        </w:rPr>
      </w:pPr>
      <w:r>
        <w:rPr>
          <w:color w:val="000000"/>
          <w:sz w:val="26"/>
          <w:szCs w:val="26"/>
          <w:shd w:fill="auto" w:val="clear"/>
        </w:rPr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23. Доля обучающихся, систематически занимающихся физической культурой и спортом, в общей численности обучающихся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Большое внимание уделяется формированию у молодого поколения активной жизненной позиции с доминированием ценностей здорового образа жизни, привлечению детей, подростков и молодежи к участию в спортивной жизни поселка.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Доля обучающихся, систематически занимающихся физической культурой и спортом, в общей численности обучающихся:</w:t>
      </w:r>
    </w:p>
    <w:p>
      <w:pPr>
        <w:pStyle w:val="Normal"/>
        <w:ind w:firstLine="700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2021 год – 91,60%; 2022 год – 99,09%; 2023 год – 96,80%; 2024 год – 100%; 2025 – 100%, 2026 год - 100%; 2027 год – 100%;.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Жилищное строительство и обеспечение граждан жильем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  <w:b/>
        </w:rPr>
        <w:t>24. Общая площадь жилых помещений, приходящаяся в среднем на одного жителя всего</w:t>
      </w:r>
      <w:r>
        <w:rPr>
          <w:rFonts w:ascii="Liberation Serif" w:hAnsi="Liberation Serif"/>
        </w:rPr>
        <w:t xml:space="preserve">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Данный показатель определяется отношением общей площади жилого фонда Малышевского муниципального округа к общей численности населения Малышевского муниципального округа: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W w:w="10723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264"/>
        <w:gridCol w:w="965"/>
        <w:gridCol w:w="1040"/>
        <w:gridCol w:w="1155"/>
        <w:gridCol w:w="1039"/>
        <w:gridCol w:w="1270"/>
        <w:gridCol w:w="996"/>
        <w:gridCol w:w="997"/>
        <w:gridCol w:w="996"/>
      </w:tblGrid>
      <w:tr>
        <w:trPr/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Наименование показателя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Ед. измерения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</w:t>
            </w:r>
            <w:r>
              <w:rPr>
                <w:rFonts w:ascii="Liberation Serif" w:hAnsi="Liberation Serif"/>
                <w:b/>
                <w:shd w:fill="auto" w:val="clear"/>
                <w:lang w:val="en-US"/>
              </w:rPr>
              <w:t>2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</w:t>
            </w:r>
            <w:r>
              <w:rPr>
                <w:rFonts w:ascii="Liberation Serif" w:hAnsi="Liberation Serif"/>
                <w:b/>
                <w:shd w:fill="auto" w:val="clear"/>
                <w:lang w:val="en-US"/>
              </w:rPr>
              <w:t>3</w:t>
            </w:r>
            <w:r>
              <w:rPr>
                <w:rFonts w:ascii="Liberation Serif" w:hAnsi="Liberation Serif"/>
                <w:b/>
                <w:shd w:fill="auto" w:val="clear"/>
              </w:rPr>
              <w:t xml:space="preserve"> 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</w:t>
            </w:r>
            <w:r>
              <w:rPr>
                <w:rFonts w:ascii="Liberation Serif" w:hAnsi="Liberation Serif"/>
                <w:b/>
                <w:shd w:fill="auto" w:val="clear"/>
                <w:lang w:val="en-US"/>
              </w:rPr>
              <w:t>4</w:t>
            </w:r>
            <w:r>
              <w:rPr>
                <w:rFonts w:ascii="Liberation Serif" w:hAnsi="Liberation Serif"/>
                <w:b/>
                <w:shd w:fill="auto" w:val="clear"/>
              </w:rP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</w:t>
            </w:r>
            <w:r>
              <w:rPr>
                <w:rFonts w:ascii="Liberation Serif" w:hAnsi="Liberation Serif"/>
                <w:b/>
                <w:shd w:fill="auto" w:val="clear"/>
                <w:lang w:val="en-US"/>
              </w:rPr>
              <w:t>5</w:t>
            </w:r>
            <w:r>
              <w:rPr>
                <w:rFonts w:ascii="Liberation Serif" w:hAnsi="Liberation Serif"/>
                <w:b/>
                <w:shd w:fill="auto" w:val="clear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 xml:space="preserve">2026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/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Общая площадь жилых помещений, приходящаяся в среднем на одного жителя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кв. м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31,24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31,67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31,90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32,3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32,3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32,3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32,3</w:t>
            </w:r>
          </w:p>
        </w:tc>
      </w:tr>
      <w:tr>
        <w:trPr>
          <w:trHeight w:val="1280" w:hRule="atLeast"/>
        </w:trPr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в том числе введенная в действие за год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кв. м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0,64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0,31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0,30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0,16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0,16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0,16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0,16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Увеличение показателя обусловлено снижением численности постоянного населения Малышевского муниципального  округа, увеличением объема введенного жилья, за счет индивидуального жилищного строительства.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25.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</w:rPr>
        <w:t>Площадь земельных участков, предоставленных для строительства в расчете на 10 тыс. человек населения, - всего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в том числе 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земельных участков, предоставленных для жилищного строительства, индивидуального строительства для комплексного освоения в целях жилищного строительства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  <w:shd w:fill="auto" w:val="clear"/>
        </w:rPr>
        <w:t xml:space="preserve">Для жилищного строительства, индивидуального жилищного строительства площадь предоставленных земельных участков: в 2025 году - составила 4,4 га;  за-планировано в 2026 году – 4,5 га, в 2027 году – 4,6 га, в 2028 году – 4,7 га.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После деления объемных показателей на 10 тысяч численность населения показатели составили:</w:t>
      </w:r>
    </w:p>
    <w:tbl>
      <w:tblPr>
        <w:tblW w:w="1072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963"/>
        <w:gridCol w:w="1285"/>
        <w:gridCol w:w="893"/>
        <w:gridCol w:w="924"/>
        <w:gridCol w:w="903"/>
        <w:gridCol w:w="959"/>
        <w:gridCol w:w="968"/>
        <w:gridCol w:w="1831"/>
      </w:tblGrid>
      <w:tr>
        <w:trPr>
          <w:trHeight w:val="80" w:hRule="atLeast"/>
        </w:trPr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Ед. 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2024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2025</w:t>
            </w:r>
          </w:p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2026</w:t>
            </w:r>
          </w:p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2027</w:t>
            </w:r>
          </w:p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Примечание</w:t>
            </w:r>
          </w:p>
        </w:tc>
      </w:tr>
      <w:tr>
        <w:trPr>
          <w:trHeight w:val="80" w:hRule="atLeast"/>
        </w:trPr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  <w:shd w:fill="auto" w:val="clear"/>
              </w:rPr>
              <w:t>Среднегодовая численность</w:t>
            </w:r>
          </w:p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  <w:shd w:fill="auto" w:val="clear"/>
              </w:rPr>
              <w:t xml:space="preserve">постоянного населения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  <w:shd w:fill="auto" w:val="clear"/>
              </w:rPr>
              <w:t>тыс. чел.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9,46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9,42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9,32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9,28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9,24</w:t>
            </w:r>
          </w:p>
        </w:tc>
        <w:tc>
          <w:tcPr>
            <w:tcW w:w="1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  <w:shd w:fill="auto" w:val="clear"/>
              </w:rPr>
              <w:t>показатели приняты по данным официальной статистики и прогнозу численности постоянного населения</w:t>
            </w:r>
          </w:p>
        </w:tc>
      </w:tr>
      <w:tr>
        <w:trPr>
          <w:trHeight w:val="80" w:hRule="atLeast"/>
        </w:trPr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  <w:shd w:fill="auto" w:val="clear"/>
              </w:rPr>
              <w:t>Площадь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 на 10 тыс. человек населения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  <w:shd w:fill="auto" w:val="clear"/>
              </w:rPr>
              <w:t>га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4,3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4,4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4,5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4,6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firstLine="14"/>
              <w:rPr>
                <w:rFonts w:ascii="Liberation Serif" w:hAnsi="Liberation Serif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z w:val="22"/>
                <w:szCs w:val="22"/>
                <w:shd w:fill="auto" w:val="clear"/>
              </w:rPr>
              <w:t>4,7</w:t>
            </w:r>
          </w:p>
        </w:tc>
        <w:tc>
          <w:tcPr>
            <w:tcW w:w="18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На территории Малышевского муниципального  округа строительство жилья ведется в основном индивидуальными застройщиками.</w:t>
      </w:r>
      <w:r>
        <w:rPr>
          <w:rFonts w:ascii="Liberation Serif" w:hAnsi="Liberation Serif"/>
          <w:b/>
          <w:bCs/>
          <w:shd w:fill="auto" w:val="clear"/>
        </w:rPr>
        <w:t xml:space="preserve"> </w:t>
      </w:r>
      <w:r>
        <w:rPr>
          <w:rFonts w:ascii="Liberation Serif" w:hAnsi="Liberation Serif"/>
          <w:shd w:fill="auto" w:val="clear"/>
        </w:rPr>
        <w:t>Предоставление земельных участков для многоэтажного жилищного строительства не осуществляется в виду отсутствия поступления заявлений по данному виду использования.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Планируемые мероприятия: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- ежегодная систематическая работа по проведению кадастрового учета земельных участков;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- создание общедоступной базы земельных участков, расположенных на территории ММО, находящихся в муниципальной собственности.</w:t>
      </w:r>
    </w:p>
    <w:p>
      <w:pPr>
        <w:pStyle w:val="Normal"/>
        <w:ind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26. 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объектов жилищного строительства - в течение 3 лет</w:t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иных объектов капитального строительства - в течение 5 лет.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Земельные участки, решение о предоставлении которых или подписание протокола о результатах торгов было принято, начиная с 1 января 2005 года, а также земельные участки, по которым выдано разрешение на строительство, и срок введения объекта по которому истек, в 2025 — 4 объекта. 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jc w:val="center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jc w:val="center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Жилищно-коммунальное хозяйство</w:t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rPr>
          <w:color w:val="000000"/>
        </w:rPr>
      </w:pPr>
      <w:r>
        <w:rPr>
          <w:rFonts w:ascii="Liberation Serif" w:hAnsi="Liberation Serif"/>
          <w:color w:val="000000"/>
          <w:sz w:val="24"/>
        </w:rPr>
        <w:t>27. 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домами.</w:t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rPr>
          <w:rFonts w:ascii="Liberation Serif" w:hAnsi="Liberation Serif"/>
          <w:b w:val="false"/>
          <w:b w:val="false"/>
          <w:color w:val="FF0000"/>
          <w:sz w:val="24"/>
        </w:rPr>
      </w:pPr>
      <w:r>
        <w:rPr>
          <w:rFonts w:ascii="Liberation Serif" w:hAnsi="Liberation Serif"/>
          <w:b w:val="false"/>
          <w:color w:val="000000"/>
          <w:sz w:val="24"/>
        </w:rPr>
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составляет 100 %.</w:t>
      </w:r>
    </w:p>
    <w:p>
      <w:pPr>
        <w:pStyle w:val="Normal"/>
        <w:ind w:firstLine="709"/>
        <w:rPr>
          <w:color w:val="000000"/>
        </w:rPr>
      </w:pPr>
      <w:r>
        <w:rPr>
          <w:rFonts w:ascii="Liberation Serif" w:hAnsi="Liberation Serif"/>
          <w:color w:val="000000"/>
        </w:rPr>
        <w:t>На территории Малышевского муниципального округа многоквартирные дома обслуживают 3 управляющих компании: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ООО «КП «Альтернатива им. Малышева»;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ООО «УК« Изумруд »;</w:t>
      </w:r>
    </w:p>
    <w:p>
      <w:pPr>
        <w:pStyle w:val="Normal"/>
        <w:ind w:firstLine="709"/>
        <w:rPr>
          <w:rFonts w:ascii="Liberation Serif" w:hAnsi="Liberation Serif"/>
          <w:color w:val="FF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ООО УК «МКП».</w:t>
      </w:r>
    </w:p>
    <w:p>
      <w:pPr>
        <w:pStyle w:val="Normal"/>
        <w:ind w:firstLine="709"/>
        <w:rPr>
          <w:rFonts w:ascii="Liberation Serif" w:hAnsi="Liberation Serif"/>
          <w:color w:val="FF0000"/>
        </w:rPr>
      </w:pPr>
      <w:r>
        <w:rPr>
          <w:rFonts w:ascii="Liberation Serif" w:hAnsi="Liberation Serif"/>
          <w:color w:val="FF0000"/>
        </w:rPr>
      </w:r>
    </w:p>
    <w:p>
      <w:pPr>
        <w:pStyle w:val="Normal"/>
        <w:ind w:left="0" w:right="0" w:firstLine="709"/>
        <w:rPr>
          <w:i w:val="false"/>
          <w:i w:val="false"/>
          <w:iCs w:val="false"/>
        </w:rPr>
      </w:pPr>
      <w:r>
        <w:rPr>
          <w:rFonts w:cs="Liberation Serif;Times New Roman" w:ascii="Liberation Serif;Times New Roman" w:hAnsi="Liberation Serif;Times New Roman"/>
          <w:i w:val="false"/>
          <w:iCs w:val="false"/>
          <w:color w:val="000000"/>
        </w:rPr>
        <w:t>В сфере ЖКХ на территории ММО реализуется муниципальная программа «Развитие жилищно-коммунального хозяйства и повышение энергетической эффективности в Малышевском муниципальном округе до 2027 года»</w:t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rPr>
          <w:color w:val="000000"/>
        </w:rPr>
      </w:pPr>
      <w:r>
        <w:rPr>
          <w:rFonts w:ascii="Liberation Serif" w:hAnsi="Liberation Serif"/>
          <w:color w:val="000000"/>
          <w:sz w:val="24"/>
        </w:rPr>
        <w:t xml:space="preserve">28. 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 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  округа (муниципального района) - </w:t>
      </w:r>
      <w:r>
        <w:rPr>
          <w:rFonts w:ascii="Liberation Serif" w:hAnsi="Liberation Serif"/>
          <w:b w:val="false"/>
          <w:color w:val="000000"/>
          <w:sz w:val="24"/>
        </w:rPr>
        <w:t>составила 80%</w:t>
      </w:r>
    </w:p>
    <w:p>
      <w:pPr>
        <w:pStyle w:val="BodyTextIndent2"/>
        <w:tabs>
          <w:tab w:val="clear" w:pos="708"/>
          <w:tab w:val="left" w:pos="1440" w:leader="none"/>
        </w:tabs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sz w:val="24"/>
        </w:rPr>
      </w:r>
    </w:p>
    <w:p>
      <w:pPr>
        <w:pStyle w:val="Normal"/>
        <w:ind w:left="0" w:right="0" w:firstLine="708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Жилищно-коммунальное хозяйство Малышевского муниципального округа представляет собой важную сферу жизнедеятельности человеческого общества. Без его эффективного функционирования невозможно обеспечение нормальных условий существования. Устойчивое функционирование жилищно-коммунального хозяйства является составляющей социальной безопасности граждан и стабильности в округе.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На территории ММО отрасль ЖКХ включает в себя предприятия, деятельность которых напрямую связана с удовлетворением потребностей населения в жилищно - коммунальных услугах: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 МУП «ТеплоМал» - поставщик тепла и горячей воды, обслуживание тепловых сетей;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ООО «АВТ Плюс» - поставщик холодной воды, эксплуатация сетей холодного водоснабжения и водоотведения;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Свердловский филиал АО «Энергосбыт Плюс» - поставщик электрический энергии;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АО «Газпром Газораспределение Екатеринбург» - обслуживание сетей газоснабжения;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  <w:color w:val="000000"/>
        </w:rPr>
        <w:t>- АО «Спецавтобаза» - обращение с твердыми коммунальными отходами;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29. Доля многоквартирных домов, расположенных на земельных участках, в отношении которых осуществлен государственный кадастровый учет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Доля многоквартирных домов, расположенных на земельных участках, в отношении которых осуществлен государственный кадастровый учет составляет 100 %. На сегодняшний день осуществляется мониторинг и контроль неучтенных объектов недвижимости.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30. Доля населения, получившего жилые помещения и улучшившего жилищные условия в отчетном году, в общей численности населения, состоявшего на учете в качестве нуждающегося в жилых помещениях.</w:t>
      </w:r>
    </w:p>
    <w:tbl>
      <w:tblPr>
        <w:tblW w:w="1019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77"/>
        <w:gridCol w:w="821"/>
        <w:gridCol w:w="806"/>
        <w:gridCol w:w="943"/>
        <w:gridCol w:w="923"/>
        <w:gridCol w:w="934"/>
        <w:gridCol w:w="932"/>
        <w:gridCol w:w="919"/>
        <w:gridCol w:w="920"/>
        <w:gridCol w:w="919"/>
      </w:tblGrid>
      <w:tr>
        <w:trPr/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Обозначение показателя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2021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2023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2026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  <w:b/>
                <w:b/>
              </w:rPr>
            </w:pPr>
            <w:r>
              <w:rPr>
                <w:rFonts w:ascii="Liberation Serif" w:hAnsi="Liberation Serif"/>
                <w:b/>
              </w:rPr>
              <w:t>2028</w:t>
            </w:r>
          </w:p>
        </w:tc>
      </w:tr>
      <w:tr>
        <w:trPr/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количество семей, получившие жилые помещения и улучившие жилищные условия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11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4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</w:t>
            </w:r>
          </w:p>
        </w:tc>
      </w:tr>
      <w:tr>
        <w:trPr/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Cs/>
              </w:rPr>
              <w:t>общее число семей, состоящих на учете в качестве нуждающихся в жилых помещениях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136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140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134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126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133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130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123</w:t>
            </w:r>
          </w:p>
        </w:tc>
      </w:tr>
      <w:tr>
        <w:trPr/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21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состоявшего на учете в качестве нуждающегося в жилых помещениях.</w:t>
            </w:r>
          </w:p>
          <w:p>
            <w:pPr>
              <w:pStyle w:val="Normal"/>
              <w:widowControl w:val="false"/>
              <w:ind w:hanging="2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1,5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2,86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8,2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5,9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2,65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2,0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2,0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Cs/>
        </w:rPr>
      </w:pPr>
      <w:r>
        <w:rPr>
          <w:rFonts w:ascii="Liberation Serif" w:hAnsi="Liberation Serif"/>
          <w:bCs/>
        </w:rPr>
      </w:r>
    </w:p>
    <w:p>
      <w:pPr>
        <w:pStyle w:val="Normal"/>
        <w:ind w:firstLine="708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</w:rPr>
        <w:t>Малышевский муниципальный округ ежегодно принимает участие в государственной программе «</w:t>
      </w:r>
      <w:r>
        <w:rPr>
          <w:rFonts w:cs="Liberation Serif" w:ascii="Liberation Serif" w:hAnsi="Liberation Serif"/>
        </w:rPr>
        <w:t>Обеспечение доступным и комфортным жильем и коммунальными услугами граждан Российской Федерации», в рамках которой 2</w:t>
      </w:r>
      <w:r>
        <w:rPr>
          <w:rFonts w:ascii="Liberation Serif" w:hAnsi="Liberation Serif"/>
        </w:rPr>
        <w:t xml:space="preserve"> молодые семьи реализовали меры социальной поддержки на приобретение (строительство) жилья.</w:t>
      </w:r>
    </w:p>
    <w:p>
      <w:pPr>
        <w:pStyle w:val="Normal"/>
        <w:ind w:firstLine="708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  <w:t>Организация муниципального управления</w:t>
      </w:r>
    </w:p>
    <w:p>
      <w:pPr>
        <w:pStyle w:val="Normal"/>
        <w:ind w:firstLine="709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ind w:firstLine="567"/>
        <w:jc w:val="left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31.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(без учета субвенций) составила: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2020 год 22,39;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2021 год 11,41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2022 год 13,11;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2023 год 15,85;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2024 год 16,00;</w:t>
      </w:r>
    </w:p>
    <w:p>
      <w:pPr>
        <w:pStyle w:val="Normal"/>
        <w:ind w:firstLine="851"/>
        <w:rPr>
          <w:rFonts w:ascii="Liberation Serif" w:hAnsi="Liberation Serif"/>
        </w:rPr>
      </w:pPr>
      <w:r>
        <w:rPr>
          <w:rFonts w:ascii="Liberation Serif" w:hAnsi="Liberation Serif"/>
        </w:rPr>
        <w:t>2025 год 19,30;</w:t>
      </w:r>
    </w:p>
    <w:p>
      <w:pPr>
        <w:pStyle w:val="Normal"/>
        <w:ind w:firstLine="70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</w:t>
      </w:r>
      <w:r>
        <w:rPr>
          <w:rFonts w:ascii="Liberation Serif" w:hAnsi="Liberation Serif"/>
          <w:color w:val="000000"/>
        </w:rPr>
        <w:t>2026 год 20,00;</w:t>
      </w:r>
    </w:p>
    <w:p>
      <w:pPr>
        <w:pStyle w:val="Normal"/>
        <w:ind w:firstLine="70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</w:t>
      </w:r>
      <w:r>
        <w:rPr>
          <w:rFonts w:ascii="Liberation Serif" w:hAnsi="Liberation Serif"/>
          <w:color w:val="000000"/>
        </w:rPr>
        <w:t>2027 год 21,00;</w:t>
      </w:r>
    </w:p>
    <w:p>
      <w:pPr>
        <w:pStyle w:val="Normal"/>
        <w:ind w:firstLine="70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</w:t>
      </w:r>
      <w:r>
        <w:rPr>
          <w:rFonts w:ascii="Liberation Serif" w:hAnsi="Liberation Serif"/>
          <w:color w:val="000000"/>
        </w:rPr>
        <w:t>2028 год 22,00.</w:t>
      </w:r>
    </w:p>
    <w:p>
      <w:pPr>
        <w:pStyle w:val="Normal"/>
        <w:ind w:firstLine="709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Налоговые и неналоговые доходы сформировали 31,4% местного бюджета, а  безвозмездные поступлений – 68,6%.</w:t>
      </w:r>
    </w:p>
    <w:p>
      <w:pPr>
        <w:pStyle w:val="Normal"/>
        <w:ind w:firstLine="709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Параметры по налоговым доходам, утвержденные в размере 230 389,2 тыс. рублей, исполнены на 238 312,1 тыс.руб. или  103,4%. Перевыполнение плана связано с поступлением НДФЛ (за счёт роста ФОТ).</w:t>
      </w:r>
    </w:p>
    <w:p>
      <w:pPr>
        <w:pStyle w:val="Normal"/>
        <w:ind w:firstLine="648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Объём неналоговых доходов составил 12 754,8 тыс. рублей или 99,3% к утвержденным параметрам. </w:t>
      </w:r>
    </w:p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  <w:t>В сравнении с 2024 годом объём неналоговых доходов в 2025 году увеличился на 737,8 тыс. рублей или на 106,1% за счет роста доходов от продажи материальных и нематериальных активов.</w:t>
      </w:r>
    </w:p>
    <w:p>
      <w:pPr>
        <w:pStyle w:val="Normal"/>
        <w:ind w:firstLine="709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</w:r>
    </w:p>
    <w:tbl>
      <w:tblPr>
        <w:tblW w:w="92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66"/>
        <w:gridCol w:w="1440"/>
        <w:gridCol w:w="1439"/>
        <w:gridCol w:w="1440"/>
        <w:gridCol w:w="1441"/>
        <w:gridCol w:w="1226"/>
      </w:tblGrid>
      <w:tr>
        <w:trPr>
          <w:trHeight w:val="365" w:hRule="atLeast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</w:tr>
      <w:tr>
        <w:trPr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Налоговые доходы, тыс.руб.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238 312,1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239 835,99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155 897,64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  <w:highlight w:val="yellow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141 761,0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101 708,7</w:t>
            </w:r>
          </w:p>
        </w:tc>
      </w:tr>
      <w:tr>
        <w:trPr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Доля налоговых доходов в общем объеме доходов бюджета, 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29,8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29,3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24,1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  <w:highlight w:val="yellow"/>
              </w:rPr>
            </w:pPr>
            <w:r>
              <w:rPr>
                <w:rFonts w:ascii="Liberation Serif" w:hAnsi="Liberation Serif"/>
                <w:bCs/>
                <w:color w:val="000000"/>
              </w:rPr>
              <w:t>21,8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15,7</w:t>
            </w:r>
          </w:p>
        </w:tc>
      </w:tr>
      <w:tr>
        <w:trPr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Неналоговые доходы, тыс.руб.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12 754,8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12 017,00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12 576,35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  <w:highlight w:val="yellow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10 119,6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11 094,9</w:t>
            </w:r>
          </w:p>
        </w:tc>
      </w:tr>
      <w:tr>
        <w:trPr/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Доля неналоговых доходов в общем объеме доходов бюджета, 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1,6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1,6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Cs/>
                <w:color w:val="000000"/>
              </w:rPr>
            </w:pPr>
            <w:r>
              <w:rPr>
                <w:rFonts w:ascii="Liberation Serif" w:hAnsi="Liberation Serif"/>
                <w:bCs/>
                <w:color w:val="000000"/>
              </w:rPr>
              <w:t>1,7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 xml:space="preserve">32. 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 </w:t>
      </w:r>
    </w:p>
    <w:p>
      <w:pPr>
        <w:pStyle w:val="Normal"/>
        <w:ind w:firstLine="709"/>
        <w:rPr>
          <w:rFonts w:ascii="Liberation Serif" w:hAnsi="Liberation Serif"/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составляет 0%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</w:rPr>
      </w:pPr>
      <w:r>
        <w:rPr>
          <w:rFonts w:ascii="Liberation Serif" w:hAnsi="Liberation Serif"/>
          <w:b w:val="false"/>
          <w:sz w:val="24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33. Объем не завершенного в установленные сроки строительства, осуществляемого за счет средств бюджета муниципального  округа (муниципального района)</w:t>
      </w:r>
    </w:p>
    <w:p>
      <w:pPr>
        <w:pStyle w:val="BodyTextIndent2"/>
        <w:ind w:firstLine="709"/>
        <w:rPr>
          <w:rFonts w:ascii="Liberation Serif" w:hAnsi="Liberation Serif"/>
          <w:sz w:val="24"/>
          <w:highlight w:val="yellow"/>
        </w:rPr>
      </w:pPr>
      <w:r>
        <w:rPr>
          <w:rFonts w:ascii="Liberation Serif" w:hAnsi="Liberation Serif"/>
          <w:sz w:val="24"/>
          <w:highlight w:val="yellow"/>
        </w:rPr>
      </w:r>
    </w:p>
    <w:p>
      <w:pPr>
        <w:pStyle w:val="BodyText2"/>
        <w:spacing w:lineRule="auto" w:line="240" w:before="0" w:after="0"/>
        <w:ind w:firstLine="709"/>
        <w:rPr>
          <w:highlight w:val="none"/>
          <w:shd w:fill="auto" w:val="clear"/>
        </w:rPr>
      </w:pPr>
      <w:r>
        <w:rPr>
          <w:rFonts w:cs="Times New Roman" w:ascii="Liberation Serif" w:hAnsi="Liberation Serif"/>
          <w:sz w:val="24"/>
          <w:szCs w:val="24"/>
          <w:shd w:fill="auto" w:val="clear"/>
        </w:rPr>
        <w:t>К объектам, находящимся в незавершенном строительстве, относятся объекты: строительство которых продолжается; строительство которых приостановлено, за</w:t>
      </w:r>
      <w:r>
        <w:rPr>
          <w:rFonts w:cs="Times New Roman" w:ascii="Liberation Serif" w:hAnsi="Liberation Serif"/>
          <w:i/>
          <w:sz w:val="24"/>
          <w:szCs w:val="24"/>
          <w:shd w:fill="auto" w:val="clear"/>
        </w:rPr>
        <w:t>консервировано или окончательно прекращено, но не списано в установленном по</w:t>
      </w:r>
      <w:r>
        <w:rPr>
          <w:rFonts w:cs="Times New Roman" w:ascii="Liberation Serif" w:hAnsi="Liberation Serif"/>
          <w:sz w:val="24"/>
          <w:szCs w:val="24"/>
          <w:shd w:fill="auto" w:val="clear"/>
        </w:rPr>
        <w:t xml:space="preserve">рядке; а также не включаемые в бухгалтерском учете в состав основных средств объекты, принятые в эксплуатацию на основании актов приемки, на которые отсутствуют необходимые документы, подтверждающие государственную регистрацию объектов недвижимости в установленных законодательством случаях. </w:t>
      </w:r>
    </w:p>
    <w:p>
      <w:pPr>
        <w:pStyle w:val="ConsPlusNormal1"/>
        <w:widowControl/>
        <w:ind w:firstLine="709"/>
        <w:rPr>
          <w:highlight w:val="none"/>
          <w:shd w:fill="auto" w:val="clear"/>
        </w:rPr>
      </w:pPr>
      <w:r>
        <w:rPr>
          <w:rFonts w:cs="Times New Roman" w:ascii="Liberation Serif" w:hAnsi="Liberation Serif"/>
          <w:sz w:val="24"/>
          <w:szCs w:val="24"/>
          <w:shd w:fill="auto" w:val="clear"/>
        </w:rPr>
        <w:t xml:space="preserve">Объем незавершенного строительства  по этим объектам представляет собой фактически произведенные затраты на строительно-монтажные работы, приобретение зданий, оборудования, транспортных средств, инструмента, инвентаря, иных материальных объектов длительного пользования, прочие капитальные работы и затраты (проектно-изыскательские, геологоразведочные и буровые работы, затраты по отводу земельных участков и переселению в связи со строительством, на подготовку кадров для вновь строящихся организаций и другие) за весь период с начала строительства этих объектов до конца отчетного года.  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Объекты, находящие в незавершенном строительстве, отсутствуют. 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</w:r>
    </w:p>
    <w:p>
      <w:pPr>
        <w:pStyle w:val="BodyTextIndent2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z w:val="24"/>
          <w:shd w:fill="auto" w:val="clear"/>
        </w:rPr>
        <w:t>34. 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</w:r>
    </w:p>
    <w:p>
      <w:pPr>
        <w:pStyle w:val="BodyTextIndent2"/>
        <w:ind w:firstLine="709"/>
        <w:rPr>
          <w:rFonts w:ascii="Liberation Serif" w:hAnsi="Liberation Serif"/>
          <w:sz w:val="24"/>
          <w:highlight w:val="yellow"/>
        </w:rPr>
      </w:pPr>
      <w:r>
        <w:rPr>
          <w:rFonts w:ascii="Liberation Serif" w:hAnsi="Liberation Serif"/>
          <w:sz w:val="24"/>
          <w:highlight w:val="yellow"/>
        </w:rPr>
      </w:r>
    </w:p>
    <w:tbl>
      <w:tblPr>
        <w:tblW w:w="1036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307"/>
        <w:gridCol w:w="960"/>
        <w:gridCol w:w="920"/>
        <w:gridCol w:w="960"/>
        <w:gridCol w:w="791"/>
        <w:gridCol w:w="792"/>
        <w:gridCol w:w="819"/>
        <w:gridCol w:w="817"/>
      </w:tblGrid>
      <w:tr>
        <w:trPr/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 xml:space="preserve">Наименование 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показателя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Ед.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изм.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2024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2025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2026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>
          <w:trHeight w:val="930" w:hRule="atLeast"/>
        </w:trPr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Доля просроченной кредиторской задолженности по оплате труда муниципальных учреждений в общем объеме расходов муниципального образования на оплату труда</w:t>
            </w:r>
            <w:r>
              <w:rPr>
                <w:rFonts w:ascii="Liberation Serif" w:hAnsi="Liberation Serif"/>
                <w:bCs/>
                <w:shd w:fill="auto" w:val="clear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%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0,00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0,00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0,00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0,00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0,00</w:t>
            </w:r>
          </w:p>
        </w:tc>
      </w:tr>
    </w:tbl>
    <w:p>
      <w:pPr>
        <w:pStyle w:val="Style27"/>
        <w:ind w:firstLine="709"/>
        <w:rPr>
          <w:rFonts w:ascii="Liberation Serif" w:hAnsi="Liberation Serif"/>
          <w:bCs/>
          <w:sz w:val="24"/>
          <w:highlight w:val="yellow"/>
        </w:rPr>
      </w:pPr>
      <w:r>
        <w:rPr>
          <w:rFonts w:ascii="Liberation Serif" w:hAnsi="Liberation Serif"/>
          <w:bCs/>
          <w:sz w:val="24"/>
          <w:highlight w:val="yellow"/>
        </w:rPr>
      </w:r>
    </w:p>
    <w:p>
      <w:pPr>
        <w:pStyle w:val="BodyTextIndent2"/>
        <w:ind w:firstLine="567"/>
        <w:rPr>
          <w:highlight w:val="none"/>
          <w:shd w:fill="auto" w:val="clear"/>
        </w:rPr>
      </w:pPr>
      <w:r>
        <w:rPr>
          <w:rFonts w:ascii="Liberation Serif" w:hAnsi="Liberation Serif"/>
          <w:b w:val="false"/>
          <w:sz w:val="24"/>
          <w:shd w:fill="auto" w:val="clear"/>
        </w:rPr>
        <w:t>В Малышевском муниципальном округе выплата заработной платы  работникам муниципальных учреждений производится в установленные сроки, задолженность по оплате труда отсутствует.</w:t>
      </w:r>
    </w:p>
    <w:p>
      <w:pPr>
        <w:pStyle w:val="Style27"/>
        <w:ind w:firstLine="709"/>
        <w:rPr>
          <w:rFonts w:ascii="Liberation Serif" w:hAnsi="Liberation Serif"/>
          <w:bCs/>
          <w:sz w:val="24"/>
        </w:rPr>
      </w:pPr>
      <w:r>
        <w:rPr>
          <w:rFonts w:ascii="Liberation Serif" w:hAnsi="Liberation Serif"/>
          <w:bCs/>
          <w:sz w:val="24"/>
        </w:rPr>
      </w:r>
    </w:p>
    <w:p>
      <w:pPr>
        <w:pStyle w:val="Style27"/>
        <w:ind w:firstLine="709"/>
        <w:rPr>
          <w:rFonts w:ascii="Liberation Serif" w:hAnsi="Liberation Serif"/>
          <w:bCs/>
          <w:sz w:val="24"/>
        </w:rPr>
      </w:pPr>
      <w:r>
        <w:rPr>
          <w:rFonts w:ascii="Liberation Serif" w:hAnsi="Liberation Serif"/>
          <w:bCs/>
          <w:sz w:val="24"/>
        </w:rPr>
      </w:r>
    </w:p>
    <w:p>
      <w:pPr>
        <w:pStyle w:val="BodyTextIndent2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35. Общий объем расходов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</w:r>
    </w:p>
    <w:p>
      <w:pPr>
        <w:pStyle w:val="Style27"/>
        <w:ind w:firstLine="567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В 2025 году расходы на содержание органов местного самоуправления составили – 40964,4</w:t>
      </w:r>
      <w:r>
        <w:rPr>
          <w:rFonts w:ascii="Liberation Serif" w:hAnsi="Liberation Serif"/>
          <w:sz w:val="24"/>
          <w:shd w:fill="FFFF00" w:val="clear"/>
        </w:rPr>
        <w:t xml:space="preserve"> </w:t>
      </w:r>
      <w:r>
        <w:rPr>
          <w:rFonts w:ascii="Liberation Serif" w:hAnsi="Liberation Serif"/>
          <w:sz w:val="24"/>
          <w:shd w:fill="auto" w:val="clear"/>
        </w:rPr>
        <w:t>тыс. рублей,</w:t>
      </w:r>
      <w:r>
        <w:rPr>
          <w:rFonts w:ascii="Liberation Serif" w:hAnsi="Liberation Serif"/>
          <w:sz w:val="24"/>
        </w:rPr>
        <w:t xml:space="preserve"> расходы на одного жителя составили 4331,65 рублей.</w:t>
      </w:r>
    </w:p>
    <w:p>
      <w:pPr>
        <w:pStyle w:val="Style27"/>
        <w:ind w:firstLine="567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</w:r>
    </w:p>
    <w:p>
      <w:pPr>
        <w:pStyle w:val="Style27"/>
        <w:ind w:firstLine="567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В плановом периоде расходы на содержание ОМСУ постепенно увеличиваются.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36. Наличие в муниципальном округе (муниципальном районе) утвержденного генерального плана муниципального  округа (схемы территориального планирования муниципального района)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yellow"/>
        </w:rPr>
      </w:pPr>
      <w:r>
        <w:rPr>
          <w:rFonts w:ascii="Liberation Serif" w:hAnsi="Liberation Serif"/>
          <w:b/>
          <w:highlight w:val="yellow"/>
        </w:rPr>
      </w:r>
    </w:p>
    <w:p>
      <w:pPr>
        <w:pStyle w:val="Normal"/>
        <w:ind w:left="0" w:right="0" w:firstLine="737"/>
        <w:jc w:val="both"/>
        <w:rPr>
          <w:b w:val="false"/>
          <w:b w:val="false"/>
          <w:bCs w:val="false"/>
        </w:rPr>
      </w:pPr>
      <w:r>
        <w:rPr>
          <w:rFonts w:cs="Liberation Serif"/>
          <w:b w:val="false"/>
          <w:bCs w:val="false"/>
          <w:color w:val="000000"/>
        </w:rPr>
        <w:t>Внесены изменения в местные нормативы градостроительного проектирования Малышевского муниципального округа, утвержденные Думой Малышевского муниципального округа от 13.12.2024 № 206</w:t>
      </w:r>
    </w:p>
    <w:p>
      <w:pPr>
        <w:pStyle w:val="ConsPlusNormal1"/>
        <w:jc w:val="both"/>
        <w:rPr>
          <w:b w:val="false"/>
          <w:b w:val="false"/>
          <w:bCs w:val="false"/>
        </w:rPr>
      </w:pPr>
      <w:r>
        <w:rPr>
          <w:rFonts w:cs="Liberation Serif" w:ascii="Liberation Serif" w:hAnsi="Liberation Serif"/>
          <w:b w:val="false"/>
          <w:bCs w:val="false"/>
          <w:sz w:val="24"/>
          <w:szCs w:val="24"/>
          <w:shd w:fill="FFFFFF" w:val="clear"/>
        </w:rPr>
        <w:t xml:space="preserve">Проведены публичные слушания по вопросу </w:t>
      </w:r>
      <w:r>
        <w:rPr>
          <w:rFonts w:cs="Liberation Serif" w:ascii="Liberation Serif" w:hAnsi="Liberation Serif"/>
          <w:b w:val="false"/>
          <w:bCs w:val="false"/>
          <w:color w:val="000000"/>
          <w:sz w:val="24"/>
          <w:szCs w:val="24"/>
          <w:shd w:fill="FFFFFF" w:val="clear"/>
        </w:rPr>
        <w:t>внесения изменений в Генеральный план Малышевского муниципального округа Свердловской области, утвержденный Думой Малышевского муниципальный округа от 28.12.2012 №74.</w:t>
      </w:r>
      <w:r>
        <w:rPr>
          <w:rFonts w:cs="Liberation Serif" w:ascii="Liberation Serif" w:hAnsi="Liberation Serif"/>
          <w:b w:val="false"/>
          <w:bCs w:val="false"/>
          <w:sz w:val="24"/>
          <w:szCs w:val="24"/>
          <w:shd w:fill="FFFFFF" w:val="clear"/>
        </w:rPr>
        <w:t xml:space="preserve"> </w:t>
      </w:r>
    </w:p>
    <w:p>
      <w:pPr>
        <w:pStyle w:val="ConsPlusNormal1"/>
        <w:jc w:val="both"/>
        <w:rPr>
          <w:rFonts w:ascii="Liberation Serif" w:hAnsi="Liberation Serif" w:cs="Liberation Serif"/>
          <w:b w:val="false"/>
          <w:b w:val="false"/>
          <w:bCs w:val="false"/>
          <w:sz w:val="24"/>
          <w:szCs w:val="24"/>
          <w:shd w:fill="FFFFFF" w:val="clear"/>
        </w:rPr>
      </w:pPr>
      <w:r>
        <w:rPr>
          <w:rFonts w:cs="Liberation Serif" w:ascii="Liberation Serif" w:hAnsi="Liberation Serif"/>
          <w:b w:val="false"/>
          <w:bCs w:val="false"/>
          <w:sz w:val="24"/>
          <w:szCs w:val="24"/>
          <w:shd w:fill="FFFFFF" w:val="clear"/>
        </w:rPr>
        <w:t xml:space="preserve">Утверждены изменения </w:t>
      </w:r>
      <w:r>
        <w:rPr>
          <w:rFonts w:cs="Liberation Serif" w:ascii="Liberation Serif" w:hAnsi="Liberation Serif"/>
          <w:b w:val="false"/>
          <w:bCs w:val="false"/>
          <w:color w:val="000000"/>
          <w:sz w:val="24"/>
          <w:szCs w:val="24"/>
          <w:shd w:fill="FFFFFF" w:val="clear"/>
        </w:rPr>
        <w:t>в Генеральный план Малышевского муниципального округа Свердловской области, утвержденный Думой Малышевского муниципального округа от 28.12.2012 №74.</w:t>
      </w:r>
      <w:r>
        <w:rPr>
          <w:rFonts w:cs="Liberation Serif" w:ascii="Liberation Serif" w:hAnsi="Liberation Serif"/>
          <w:b w:val="false"/>
          <w:bCs w:val="false"/>
          <w:sz w:val="24"/>
          <w:szCs w:val="24"/>
          <w:shd w:fill="FFFFFF" w:val="clear"/>
        </w:rPr>
        <w:t xml:space="preserve"> </w:t>
      </w:r>
    </w:p>
    <w:p>
      <w:pPr>
        <w:pStyle w:val="ConsPlusNormal1"/>
        <w:jc w:val="both"/>
        <w:rPr>
          <w:rFonts w:ascii="Liberation Serif" w:hAnsi="Liberation Serif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Выдано 4 разрешения на строительство и один ввод в эксплуатацию.</w:t>
      </w:r>
    </w:p>
    <w:p>
      <w:pPr>
        <w:pStyle w:val="ConsPlusNormal1"/>
        <w:jc w:val="both"/>
        <w:rPr>
          <w:b w:val="false"/>
          <w:b w:val="false"/>
          <w:bCs w:val="false"/>
        </w:rPr>
      </w:pPr>
      <w:r>
        <w:rPr>
          <w:rFonts w:cs="Liberation Serif" w:ascii="Liberation Serif" w:hAnsi="Liberation Serif"/>
          <w:b w:val="false"/>
          <w:bCs w:val="false"/>
          <w:sz w:val="24"/>
          <w:szCs w:val="24"/>
        </w:rPr>
        <w:t>Выдано 30 уведомлений о соответствии, указанных в уведомлении о планируемых строительстве объекта индивидуального жилищного строительства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участке.</w:t>
      </w:r>
    </w:p>
    <w:p>
      <w:pPr>
        <w:pStyle w:val="ConsPlusNormal1"/>
        <w:jc w:val="both"/>
        <w:rPr>
          <w:b w:val="false"/>
          <w:b w:val="false"/>
          <w:bCs w:val="false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Выдано 5 актов </w:t>
      </w:r>
      <w:r>
        <w:rPr>
          <w:rFonts w:cs="Liberation Serif" w:ascii="Liberation Serif" w:hAnsi="Liberation Serif"/>
          <w:b w:val="false"/>
          <w:bCs w:val="false"/>
          <w:sz w:val="24"/>
          <w:szCs w:val="24"/>
        </w:rPr>
        <w:t>о готовности помещения к эксплуатации после выполнения работ по переустройству и (или) перепланировке.</w:t>
      </w:r>
    </w:p>
    <w:p>
      <w:pPr>
        <w:pStyle w:val="Normal"/>
        <w:ind w:right="0" w:firstLine="709"/>
        <w:jc w:val="both"/>
        <w:rPr>
          <w:rFonts w:ascii="Liberation Serif" w:hAnsi="Liberation Serif" w:cs="Liberation Serif"/>
          <w:b w:val="false"/>
          <w:b w:val="false"/>
          <w:bCs w:val="false"/>
          <w:highlight w:val="none"/>
          <w:shd w:fill="auto" w:val="clear"/>
        </w:rPr>
      </w:pPr>
      <w:r>
        <w:rPr>
          <w:rFonts w:cs="Liberation Serif" w:ascii="Liberation Serif" w:hAnsi="Liberation Serif"/>
          <w:b w:val="false"/>
          <w:bCs w:val="false"/>
          <w:sz w:val="23"/>
          <w:szCs w:val="23"/>
          <w:shd w:fill="auto" w:val="clear"/>
        </w:rPr>
        <w:t>С целью типизации представления муниципальных услуг актуализированы административные регламенты предоставления муниципальных услуг в области архитектуры и градостроительства.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37.1 Удовлетворенность населения организацией транспортного обслуживания в муниципальном образовании</w:t>
      </w:r>
    </w:p>
    <w:tbl>
      <w:tblPr>
        <w:tblW w:w="1086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84"/>
        <w:gridCol w:w="896"/>
        <w:gridCol w:w="1128"/>
        <w:gridCol w:w="1195"/>
        <w:gridCol w:w="1075"/>
        <w:gridCol w:w="1194"/>
        <w:gridCol w:w="1201"/>
        <w:gridCol w:w="986"/>
      </w:tblGrid>
      <w:tr>
        <w:trPr/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 xml:space="preserve">Наименование </w:t>
            </w:r>
          </w:p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показателя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Ед.</w:t>
            </w:r>
          </w:p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изм.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2023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2025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2026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>
          <w:trHeight w:val="561" w:hRule="atLeast"/>
        </w:trPr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Удовлетворённость населения организацией  транспортного обслуживания в  Малышевском муниципальном округе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95,00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95,59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92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93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94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24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95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 xml:space="preserve">37.2 Удовлетворенность населения качеством автомобильных дорог в муниципальном образовании </w:t>
      </w:r>
    </w:p>
    <w:tbl>
      <w:tblPr>
        <w:tblW w:w="1072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675"/>
        <w:gridCol w:w="662"/>
        <w:gridCol w:w="1099"/>
        <w:gridCol w:w="1146"/>
        <w:gridCol w:w="1014"/>
        <w:gridCol w:w="1135"/>
        <w:gridCol w:w="1020"/>
        <w:gridCol w:w="968"/>
      </w:tblGrid>
      <w:tr>
        <w:trPr/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 xml:space="preserve">Наименование 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показателя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Ед.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изм.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2024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2027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>
          <w:trHeight w:val="561" w:hRule="atLeast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Удовлетворённость населения качеством автомобильных дорог  в Малышевском  муниципальном округе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%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44,4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55,9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60,0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60,5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70,0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70,5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FFFF00" w:val="clear"/>
        </w:rPr>
      </w:pPr>
      <w:r>
        <w:rPr>
          <w:rFonts w:ascii="Liberation Serif" w:hAnsi="Liberation Serif"/>
          <w:b/>
          <w:bCs/>
          <w:shd w:fill="FFFF00" w:val="clear"/>
        </w:rPr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FFFF00" w:val="clear"/>
        </w:rPr>
      </w:pPr>
      <w:r>
        <w:rPr>
          <w:rFonts w:ascii="Liberation Serif" w:hAnsi="Liberation Serif"/>
          <w:b/>
          <w:bCs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37.3 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</w:r>
    </w:p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</w:r>
    </w:p>
    <w:tbl>
      <w:tblPr>
        <w:tblW w:w="105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67"/>
        <w:gridCol w:w="665"/>
        <w:gridCol w:w="765"/>
        <w:gridCol w:w="887"/>
        <w:gridCol w:w="886"/>
        <w:gridCol w:w="887"/>
        <w:gridCol w:w="890"/>
        <w:gridCol w:w="875"/>
      </w:tblGrid>
      <w:tr>
        <w:trPr/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 xml:space="preserve">Наименование </w:t>
            </w:r>
          </w:p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показателя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Ед.</w:t>
            </w:r>
          </w:p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изм.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2024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2027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>
          <w:trHeight w:val="1130" w:hRule="atLeast"/>
        </w:trPr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электро-снабжения, газоснабжения в Малышевском муниципальном округе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%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rFonts w:ascii="Liberation Serif" w:hAnsi="Liberation Serif" w:cs="Tahoma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76,68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rFonts w:ascii="Liberation Serif" w:hAnsi="Liberation Serif" w:cs="Tahoma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79,60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79,80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81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83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 w:cs="Tahoma"/>
                <w:highlight w:val="none"/>
                <w:shd w:fill="auto" w:val="clear"/>
              </w:rPr>
            </w:pPr>
            <w:r>
              <w:rPr>
                <w:rFonts w:cs="Tahoma" w:ascii="Liberation Serif" w:hAnsi="Liberation Serif"/>
                <w:shd w:fill="auto" w:val="clear"/>
              </w:rPr>
              <w:t>85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FFFF00" w:val="clear"/>
        </w:rPr>
      </w:pPr>
      <w:r>
        <w:rPr>
          <w:rFonts w:ascii="Liberation Serif" w:hAnsi="Liberation Serif"/>
          <w:b/>
          <w:bCs/>
          <w:shd w:fill="FFFF00" w:val="clear"/>
        </w:rPr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38.Среднегодовая численность постоянного населения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u w:val="single"/>
          <w:shd w:fill="auto" w:val="clear"/>
        </w:rPr>
        <w:t>Единица измерения</w:t>
      </w:r>
      <w:r>
        <w:rPr>
          <w:rFonts w:ascii="Liberation Serif" w:hAnsi="Liberation Serif"/>
          <w:shd w:fill="auto" w:val="clear"/>
        </w:rPr>
        <w:t xml:space="preserve">  - тыс. человек. среднегодовая численность за 2023 год составила 9519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человек ( с учетом итогов Всероссийской переписи населения). 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На  2025 год -  9,382                 </w:t>
      </w:r>
    </w:p>
    <w:p>
      <w:pPr>
        <w:pStyle w:val="Normal"/>
        <w:tabs>
          <w:tab w:val="clear" w:pos="708"/>
          <w:tab w:val="left" w:pos="4680" w:leader="none"/>
          <w:tab w:val="left" w:pos="6480" w:leader="none"/>
          <w:tab w:val="left" w:pos="846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На  2026 год -  9,317       </w:t>
      </w:r>
    </w:p>
    <w:p>
      <w:pPr>
        <w:pStyle w:val="Normal"/>
        <w:tabs>
          <w:tab w:val="clear" w:pos="708"/>
          <w:tab w:val="left" w:pos="4680" w:leader="none"/>
          <w:tab w:val="left" w:pos="6480" w:leader="none"/>
          <w:tab w:val="left" w:pos="846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На  2027 год -  9,252</w:t>
      </w:r>
    </w:p>
    <w:p>
      <w:pPr>
        <w:pStyle w:val="Normal"/>
        <w:tabs>
          <w:tab w:val="clear" w:pos="708"/>
          <w:tab w:val="left" w:pos="4680" w:leader="none"/>
          <w:tab w:val="left" w:pos="6480" w:leader="none"/>
          <w:tab w:val="left" w:pos="8460" w:leader="none"/>
        </w:tabs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На  2028 год -  9,187         </w:t>
      </w:r>
    </w:p>
    <w:p>
      <w:pPr>
        <w:pStyle w:val="Normal"/>
        <w:spacing w:before="0" w:after="0"/>
        <w:ind w:firstLine="851"/>
        <w:contextualSpacing/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</w:rPr>
        <w:t>Население Малышевского муниципального  округа по данным Свердловскстата составляет на 1 января 2025 года 9416 человек, в том числе:</w:t>
      </w:r>
    </w:p>
    <w:tbl>
      <w:tblPr>
        <w:tblW w:w="9853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326"/>
        <w:gridCol w:w="1278"/>
        <w:gridCol w:w="1476"/>
        <w:gridCol w:w="1417"/>
        <w:gridCol w:w="1356"/>
      </w:tblGrid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ascii="Liberation Serif" w:hAnsi="Liberation Serif" w:cs="Liberation Serif"/>
                <w:b/>
                <w:b/>
                <w:color w:val="000000"/>
                <w:sz w:val="22"/>
                <w:szCs w:val="22"/>
                <w:highlight w:val="none"/>
                <w:shd w:fill="FFFF00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2"/>
                <w:szCs w:val="22"/>
                <w:shd w:fill="FFFF00" w:val="clear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2"/>
                <w:szCs w:val="22"/>
                <w:shd w:fill="auto" w:val="clear"/>
              </w:rPr>
              <w:t>2023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b/>
                <w:b/>
                <w:bCs/>
                <w:sz w:val="22"/>
                <w:szCs w:val="22"/>
                <w:highlight w:val="none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2025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2"/>
                <w:szCs w:val="22"/>
                <w:shd w:fill="auto" w:val="clear"/>
              </w:rPr>
              <w:t>Изменения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 xml:space="preserve">Население на 1 января (человек),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9539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9499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9416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-83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 городское население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8400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8385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8309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-76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 сельское население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1139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1114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1107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-7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в т.ч.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моложе трудоспособного возраста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1803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1736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1721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-15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трудоспособного возраста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4964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5070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5048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-22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старше трудоспособного возраста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2772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2693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2647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-46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количество родившихся*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43*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57*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+13</w:t>
            </w:r>
          </w:p>
        </w:tc>
      </w:tr>
      <w:tr>
        <w:trPr/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left"/>
              <w:rPr>
                <w:highlight w:val="none"/>
                <w:shd w:fill="auto" w:val="clear"/>
              </w:rPr>
            </w:pPr>
            <w:r>
              <w:rPr>
                <w:rFonts w:eastAsia="Calibri"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количество умерших*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115*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154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113*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contextualSpacing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+41</w:t>
            </w:r>
          </w:p>
        </w:tc>
      </w:tr>
    </w:tbl>
    <w:p>
      <w:pPr>
        <w:pStyle w:val="Normal"/>
        <w:ind w:firstLine="709"/>
        <w:rPr>
          <w:rFonts w:ascii="Liberation Serif" w:hAnsi="Liberation Serif" w:cs="Liberation Serif"/>
          <w:bCs/>
          <w:color w:val="000000"/>
          <w:highlight w:val="none"/>
          <w:shd w:fill="FFFF00" w:val="clear"/>
        </w:rPr>
      </w:pPr>
      <w:r>
        <w:rPr>
          <w:rFonts w:cs="Liberation Serif" w:ascii="Liberation Serif" w:hAnsi="Liberation Serif"/>
          <w:bCs/>
          <w:color w:val="000000"/>
          <w:shd w:fill="FFFF00" w:val="clear"/>
        </w:rPr>
      </w:r>
    </w:p>
    <w:p>
      <w:pPr>
        <w:pStyle w:val="Normal"/>
        <w:ind w:firstLine="709"/>
        <w:rPr>
          <w:rFonts w:ascii="Liberation Serif" w:hAnsi="Liberation Serif" w:cs="Liberation Serif"/>
          <w:bCs/>
          <w:color w:val="000000"/>
          <w:highlight w:val="none"/>
          <w:shd w:fill="FFFF00" w:val="clear"/>
        </w:rPr>
      </w:pPr>
      <w:r>
        <w:rPr>
          <w:rFonts w:cs="Liberation Serif" w:ascii="Liberation Serif" w:hAnsi="Liberation Serif"/>
          <w:bCs/>
          <w:color w:val="000000"/>
          <w:shd w:fill="FFFF00" w:val="clear"/>
        </w:rPr>
      </w:r>
    </w:p>
    <w:p>
      <w:pPr>
        <w:pStyle w:val="Normal"/>
        <w:ind w:firstLine="709"/>
        <w:rPr>
          <w:rFonts w:ascii="Liberation Serif" w:hAnsi="Liberation Serif" w:cs="Liberation Serif"/>
          <w:bCs/>
          <w:color w:val="000000"/>
          <w:highlight w:val="none"/>
          <w:shd w:fill="FFFF00" w:val="clear"/>
        </w:rPr>
      </w:pPr>
      <w:r>
        <w:rPr>
          <w:rFonts w:cs="Liberation Serif" w:ascii="Liberation Serif" w:hAnsi="Liberation Serif"/>
          <w:bCs/>
          <w:color w:val="000000"/>
          <w:shd w:fill="FFFF00" w:val="clear"/>
        </w:rPr>
      </w:r>
    </w:p>
    <w:tbl>
      <w:tblPr>
        <w:tblW w:w="10667" w:type="dxa"/>
        <w:jc w:val="left"/>
        <w:tblInd w:w="-2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11"/>
        <w:gridCol w:w="1476"/>
        <w:gridCol w:w="1308"/>
        <w:gridCol w:w="1417"/>
        <w:gridCol w:w="1307"/>
        <w:gridCol w:w="1190"/>
        <w:gridCol w:w="1257"/>
      </w:tblGrid>
      <w:tr>
        <w:trPr/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Наименование показателя /год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2"/>
                <w:szCs w:val="22"/>
                <w:shd w:fill="auto" w:val="clear"/>
              </w:rPr>
              <w:t>2020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2"/>
                <w:szCs w:val="22"/>
                <w:shd w:fill="auto" w:val="clear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color w:val="000000"/>
                <w:sz w:val="22"/>
                <w:szCs w:val="22"/>
                <w:shd w:fill="auto" w:val="clear"/>
              </w:rPr>
              <w:t>2022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b/>
                <w:bCs/>
                <w:color w:val="000000"/>
                <w:sz w:val="22"/>
                <w:szCs w:val="22"/>
                <w:shd w:fill="auto" w:val="clear"/>
              </w:rPr>
              <w:t>2023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  <w:highlight w:val="none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2024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  <w:highlight w:val="none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2025</w:t>
            </w:r>
          </w:p>
        </w:tc>
      </w:tr>
      <w:tr>
        <w:trPr>
          <w:trHeight w:val="672" w:hRule="atLeast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Численность населения на 1 января, чел.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10311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10192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9642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9539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9499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9416</w:t>
            </w:r>
          </w:p>
        </w:tc>
      </w:tr>
      <w:tr>
        <w:trPr/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Численность населения моложе трудоспособного возраста на 1 января, чел.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1731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1666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5014*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4964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1736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1721*</w:t>
            </w:r>
          </w:p>
        </w:tc>
      </w:tr>
      <w:tr>
        <w:trPr/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Численность населения трудоспособного возраста на 1 января, чел.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4959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4917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2809*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2772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5070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5048*</w:t>
            </w:r>
          </w:p>
        </w:tc>
      </w:tr>
      <w:tr>
        <w:trPr/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Численность населения старше трудоспособного возраста на 1 января, чел.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3621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3609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1819*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1803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2693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2647*</w:t>
            </w:r>
          </w:p>
        </w:tc>
      </w:tr>
      <w:tr>
        <w:trPr>
          <w:trHeight w:val="633" w:hRule="atLeast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Общий коэффициент рождаемости, промилле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6,9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7,5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5,6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4,5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4,6*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6,1*</w:t>
            </w:r>
          </w:p>
        </w:tc>
      </w:tr>
      <w:tr>
        <w:trPr/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Общий коэффициент смертности, промилле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17,7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22,0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17,2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  <w:shd w:fill="auto" w:val="clear"/>
              </w:rPr>
              <w:t>12,1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16,2*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  <w:highlight w:val="none"/>
                <w:shd w:fill="auto" w:val="clear"/>
              </w:rPr>
            </w:pPr>
            <w:r>
              <w:rPr>
                <w:sz w:val="22"/>
                <w:szCs w:val="22"/>
                <w:shd w:fill="auto" w:val="clear"/>
              </w:rPr>
              <w:t>12*</w:t>
            </w:r>
          </w:p>
        </w:tc>
      </w:tr>
    </w:tbl>
    <w:p>
      <w:pPr>
        <w:pStyle w:val="ListParagraph"/>
        <w:ind w:left="1069" w:hanging="0"/>
        <w:rPr>
          <w:highlight w:val="none"/>
          <w:shd w:fill="auto" w:val="clear"/>
        </w:rPr>
      </w:pPr>
      <w:r>
        <w:rPr>
          <w:rFonts w:cs="Liberation Serif" w:ascii="Liberation Serif" w:hAnsi="Liberation Serif"/>
          <w:bCs/>
          <w:color w:val="000000"/>
          <w:shd w:fill="auto" w:val="clear"/>
        </w:rPr>
        <w:t>*расчетные данные</w:t>
      </w:r>
    </w:p>
    <w:p>
      <w:pPr>
        <w:pStyle w:val="Normal"/>
        <w:spacing w:before="60" w:after="0"/>
        <w:ind w:firstLine="709"/>
        <w:jc w:val="center"/>
        <w:rPr>
          <w:rFonts w:ascii="Liberation Serif" w:hAnsi="Liberation Serif"/>
          <w:b/>
          <w:b/>
          <w:bCs/>
          <w:color w:val="000000"/>
          <w:highlight w:val="none"/>
          <w:shd w:fill="FFFF00" w:val="clear"/>
        </w:rPr>
      </w:pPr>
      <w:r>
        <w:rPr>
          <w:rFonts w:ascii="Liberation Serif" w:hAnsi="Liberation Serif"/>
          <w:b/>
          <w:bCs/>
          <w:color w:val="000000"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Ежегодно актуализируется и реализуется мероприятия "Программы демографического развития Малышевского муниципального округа на период до 2025 года".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Энергосбережение и повышение энергетической эффективности</w:t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39.Удельная величина потребления энергетических ресурсов  в многоквартирных домах</w:t>
      </w:r>
    </w:p>
    <w:p>
      <w:pPr>
        <w:pStyle w:val="Style27"/>
        <w:suppressAutoHyphens w:val="true"/>
        <w:ind w:firstLine="709"/>
        <w:rPr>
          <w:rFonts w:ascii="Liberation Serif" w:hAnsi="Liberation Serif"/>
          <w:sz w:val="24"/>
          <w:highlight w:val="none"/>
          <w:shd w:fill="FFFF00" w:val="clear"/>
        </w:rPr>
      </w:pPr>
      <w:r>
        <w:rPr>
          <w:rFonts w:ascii="Liberation Serif" w:hAnsi="Liberation Serif"/>
          <w:sz w:val="24"/>
          <w:shd w:fill="FFFF00" w:val="clear"/>
        </w:rPr>
      </w:r>
    </w:p>
    <w:tbl>
      <w:tblPr>
        <w:tblW w:w="10704" w:type="dxa"/>
        <w:jc w:val="left"/>
        <w:tblInd w:w="-3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83"/>
        <w:gridCol w:w="1248"/>
        <w:gridCol w:w="1200"/>
        <w:gridCol w:w="1188"/>
        <w:gridCol w:w="1248"/>
        <w:gridCol w:w="1248"/>
        <w:gridCol w:w="1188"/>
      </w:tblGrid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Обозначение показателя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2025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b/>
                <w:shd w:fill="auto" w:val="clear"/>
              </w:rPr>
              <w:t>2027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потребления электрической энергии в многоквартирных домах (тыс.кВтч)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4583,3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4583,3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4583,3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4583,3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4583,3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4583,3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потребления тепловой энергии в многоквартирных домах (Гкал)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46773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46773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46773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46773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46773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46773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потребления горячей воды в многоквартирных домах (тыс. куб.метров)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125,03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125,03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125,03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125,03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125,03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125,03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потребления холодной воды в многоквартирных домах (тыс. куб. метров)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301,54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301,54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301,54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301,54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301,54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301,54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потребления природного газа в многоквартирных домах (тыс. куб.метров)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1026,8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1026,8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1026,8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1026,8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1026,8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1026,8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число проживающих в многоквартирных домах (тыс. человек)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7,400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7,306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7,300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7,300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7,300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7,300</w:t>
            </w:r>
          </w:p>
        </w:tc>
      </w:tr>
      <w:tr>
        <w:trPr>
          <w:trHeight w:val="465" w:hRule="atLeast"/>
        </w:trPr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общая площадь многоквартирных домов (кв. метров)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201195,8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201195,8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201195,8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201195,8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201195,8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201195,8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электрической энергии (кВт/ч на 1 проживающего)</w:t>
            </w:r>
            <w:bookmarkStart w:id="5" w:name="_GoBack"/>
            <w:bookmarkEnd w:id="5"/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560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560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560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560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560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560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тепловой энергии(Гкал на 1 кв.метр общей площади)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0,21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горячей воды( куб.метров на 1 проживающего)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14,5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14,5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14,5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14,5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14,5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холодной воды( куб.метров на 1 проживающего)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34,25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34,25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34,20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34,20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34,20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34,20</w:t>
            </w:r>
          </w:p>
        </w:tc>
      </w:tr>
      <w:tr>
        <w:trPr/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природного газа (кубических метров на 1 проживающего)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4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125,4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40.Удельная величина потребления энергетических ресурсов (электрическая и тепловая энергия, вода, природный газ) муниципальными бюджетными учреждениями</w:t>
      </w:r>
    </w:p>
    <w:p>
      <w:pPr>
        <w:pStyle w:val="BodyTextIndent2"/>
        <w:ind w:firstLine="709"/>
        <w:rPr>
          <w:rFonts w:ascii="Liberation Serif" w:hAnsi="Liberation Serif"/>
          <w:b w:val="false"/>
          <w:b w:val="false"/>
          <w:sz w:val="24"/>
          <w:highlight w:val="none"/>
          <w:shd w:fill="FFFF00" w:val="clear"/>
        </w:rPr>
      </w:pPr>
      <w:r>
        <w:rPr>
          <w:rFonts w:ascii="Liberation Serif" w:hAnsi="Liberation Serif"/>
          <w:b w:val="false"/>
          <w:sz w:val="24"/>
          <w:shd w:fill="FFFF00" w:val="clear"/>
        </w:rPr>
      </w:r>
    </w:p>
    <w:tbl>
      <w:tblPr>
        <w:tblW w:w="10774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28"/>
        <w:gridCol w:w="1009"/>
        <w:gridCol w:w="1091"/>
        <w:gridCol w:w="1082"/>
        <w:gridCol w:w="1186"/>
        <w:gridCol w:w="1142"/>
        <w:gridCol w:w="1135"/>
      </w:tblGrid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Обозначение показателя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2023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2024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2025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8"/>
              <w:jc w:val="center"/>
              <w:rPr>
                <w:b/>
                <w:b/>
                <w:bCs/>
                <w:highlight w:val="none"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2028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потребленной (израсходованной) электрической энергии муниципальными учреждениями (тыс. кВтч)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 xml:space="preserve">2907,3 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15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2907,3 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2907,3 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2907,3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2907,3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2907,3 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потребленной (израсходованной) тепловой энергии муниципальными учреждениями (Гкал)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 xml:space="preserve"> </w:t>
            </w:r>
            <w:r>
              <w:rPr>
                <w:shd w:fill="auto" w:val="clear"/>
              </w:rPr>
              <w:t>7700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15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7700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7700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7700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7700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7700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потребленной (израсходованной) горячей воды муниципальными учреждениями (тыс. куб.метров)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12,86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15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12,86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12,86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12,86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12,86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12,86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потребленной (израсходованной) холодной воды муниципальными учреждениями (тыс. куб. метров)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21,44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15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21,44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21,44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21,44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21,44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21,44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объем потребленного (израсходованного) природного газа муниципальными учреждениями (тыс. куб.метров)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 xml:space="preserve"> </w:t>
            </w:r>
            <w:r>
              <w:rPr>
                <w:shd w:fill="auto" w:val="clear"/>
              </w:rPr>
              <w:t>0,0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15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0,0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0,0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0,0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0,0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 xml:space="preserve"> </w:t>
            </w:r>
            <w:r>
              <w:rPr>
                <w:rFonts w:ascii="Liberation Serif" w:hAnsi="Liberation Serif"/>
                <w:shd w:fill="auto" w:val="clear"/>
              </w:rPr>
              <w:t>0,0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среднегодовая численность постоянного населения муниципального  округа (муниципального района) (тыс. человек)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9,52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9,46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9,38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9,32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9,28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9,28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общая площадь муниципальных учреждений (кв. метров)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27500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27500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27500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27500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27500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электрической энергии муниципальными бюджетными учреждениями (кВт/ч на 1 человека населения)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271,2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271,2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271,2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271,2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271,2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271,2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тепловой энергии муниципальными бюджетными учреждениями (Гкал. на 1 кв.м. общей площади)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0,28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0,28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0,28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0,28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горячей воды муниципальными бюджетными учреждениями (куб. метров на 1 человека населения)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1,2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1,2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1,2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1,2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1,2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1,2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холодной воды муниципальными бюджетными учреждениями (куб. метров на 1 человека населения)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2</w:t>
            </w:r>
          </w:p>
        </w:tc>
      </w:tr>
      <w:tr>
        <w:trPr/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удельная величина потребления природного газа муниципальными бюджетными учреждениями (куб. метров на 1 человека населения)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rFonts w:ascii="Liberation Serif" w:hAnsi="Liberation Serif"/>
                <w:shd w:fill="auto" w:val="clear"/>
              </w:rPr>
              <w:t>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firstLine="33"/>
              <w:jc w:val="center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0</w:t>
            </w:r>
          </w:p>
        </w:tc>
      </w:tr>
    </w:tbl>
    <w:p>
      <w:pPr>
        <w:pStyle w:val="Normal"/>
        <w:ind w:firstLine="709"/>
        <w:rPr>
          <w:rFonts w:ascii="Liberation Serif" w:hAnsi="Liberation Serif"/>
          <w:b/>
          <w:b/>
          <w:bCs/>
          <w:highlight w:val="none"/>
          <w:shd w:fill="FFFF00" w:val="clear"/>
        </w:rPr>
      </w:pPr>
      <w:r>
        <w:rPr>
          <w:rFonts w:ascii="Liberation Serif" w:hAnsi="Liberation Serif"/>
          <w:b/>
          <w:bCs/>
          <w:shd w:fill="FFFF00" w:val="clear"/>
        </w:rPr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bCs/>
          <w:shd w:fill="auto" w:val="clear"/>
        </w:rPr>
        <w:t>41. 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 xml:space="preserve"> </w:t>
      </w:r>
      <w:r>
        <w:rPr>
          <w:rFonts w:ascii="Liberation Serif" w:hAnsi="Liberation Serif"/>
          <w:b/>
          <w:shd w:fill="auto" w:val="clear"/>
        </w:rPr>
        <w:t>Результаты независимой оценки качества условий оказания услуг муниципальными организациями в сфере образования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Независимая оценка качества условий оказания услуг организаций и учреждений образования Свердловской области проводится Министерством образования и молодежной политики Свердловской области. Отчеты о проведении независимой оценки качества условий оказания услуг образовательными учреждениями Свердловской области размещается на сайте Министерства образования и молодежной политики Свердловской области в разделе «Независимая оценка качества условий оказания услуг» / «Информация о результатах независимой оценки качества оказания услуг».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b/>
          <w:shd w:fill="auto" w:val="clear"/>
        </w:rPr>
        <w:t>Результаты независимой оценки качества условий оказания услуг муниципальными организациями в сферах культуры</w:t>
      </w:r>
    </w:p>
    <w:p>
      <w:pPr>
        <w:pStyle w:val="Normal"/>
        <w:ind w:firstLine="709"/>
        <w:rPr>
          <w:highlight w:val="none"/>
          <w:shd w:fill="FFFF00" w:val="clear"/>
        </w:rPr>
      </w:pPr>
      <w:r>
        <w:rPr>
          <w:rFonts w:ascii="Liberation Serif" w:hAnsi="Liberation Serif"/>
          <w:shd w:fill="auto" w:val="clear"/>
        </w:rPr>
        <w:t>С 2018 года независимая оценка качества условий оказания услуг организаций и учреждений культуры Свердловской области проводится Министерством культуры Свердловской области. Отчеты о проведении независимой оценки качества условий оказания услуг организациями культуры Свердловской области размещается на сайте Министерства культуры Свердловской области в разделе «Независимая оценка качества условий оказания услуг» / «Информация о результатах независимой оценки качества оказания услуг организациями культуры Свердловской области».</w:t>
      </w:r>
    </w:p>
    <w:p>
      <w:pPr>
        <w:pStyle w:val="Normal"/>
        <w:ind w:firstLine="709"/>
        <w:rPr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>В сфере культуры — 90,28 балла. На 2026-2028 года — 96,00 балла.</w:t>
      </w:r>
    </w:p>
    <w:p>
      <w:pPr>
        <w:pStyle w:val="Normal"/>
        <w:ind w:firstLine="709"/>
        <w:rPr>
          <w:rFonts w:ascii="Liberation Serif" w:hAnsi="Liberation Serif"/>
          <w:highlight w:val="none"/>
          <w:shd w:fill="auto" w:val="clear"/>
        </w:rPr>
      </w:pPr>
      <w:r>
        <w:rPr>
          <w:rFonts w:ascii="Liberation Serif" w:hAnsi="Liberation Serif"/>
          <w:shd w:fill="auto" w:val="clear"/>
        </w:rPr>
        <w:t xml:space="preserve">В сфере образования — 97,38 балла. На 2026-2028 года — 98,00 балла. </w:t>
      </w:r>
    </w:p>
    <w:p>
      <w:pPr>
        <w:pStyle w:val="Normal"/>
        <w:ind w:firstLine="709"/>
        <w:jc w:val="center"/>
        <w:rPr>
          <w:rFonts w:ascii="Liberation Serif" w:hAnsi="Liberation Serif"/>
          <w:b/>
          <w:b/>
          <w:highlight w:val="none"/>
          <w:shd w:fill="FFFF00" w:val="clear"/>
        </w:rPr>
      </w:pPr>
      <w:r>
        <w:rPr>
          <w:rFonts w:ascii="Liberation Serif" w:hAnsi="Liberation Serif"/>
          <w:b/>
          <w:shd w:fill="FFFF00" w:val="clea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Liberation Serif" w:ascii="Liberation Serif" w:hAnsi="Liberation Serif"/>
          <w:b/>
          <w:color w:val="000000"/>
          <w:shd w:fill="auto" w:val="clear"/>
        </w:rPr>
        <w:t xml:space="preserve">Раздел 3. Задачи главы Малышевского муниципального округа и администрации 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Liberation Serif" w:ascii="Liberation Serif" w:hAnsi="Liberation Serif"/>
          <w:b/>
          <w:color w:val="000000"/>
          <w:shd w:fill="auto" w:val="clear"/>
        </w:rPr>
        <w:t>Малышевского муниципального  округа на 2026 год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color w:val="000000"/>
          <w:highlight w:val="none"/>
          <w:shd w:fill="auto" w:val="clear"/>
        </w:rPr>
      </w:pPr>
      <w:r>
        <w:rPr>
          <w:rFonts w:cs="Liberation Serif" w:ascii="Liberation Serif" w:hAnsi="Liberation Serif"/>
          <w:b/>
          <w:color w:val="000000"/>
          <w:shd w:fill="auto" w:val="clear"/>
        </w:rPr>
      </w:r>
    </w:p>
    <w:p>
      <w:pPr>
        <w:pStyle w:val="Normal"/>
        <w:ind w:left="0" w:right="0" w:firstLine="709"/>
        <w:rPr/>
      </w:pPr>
      <w:r>
        <w:rPr>
          <w:rFonts w:eastAsia="Calibri" w:cs="Liberation Serif;Times New Roman" w:ascii="Liberation Serif;Times New Roman" w:hAnsi="Liberation Serif;Times New Roman"/>
          <w:color w:val="000000"/>
        </w:rPr>
        <w:t xml:space="preserve">Основная цель деятельности администрации </w:t>
      </w:r>
      <w:r>
        <w:rPr>
          <w:rFonts w:cs="Liberation Serif;Times New Roman" w:ascii="Liberation Serif;Times New Roman" w:hAnsi="Liberation Serif;Times New Roman"/>
          <w:color w:val="000000"/>
        </w:rPr>
        <w:t xml:space="preserve">Малышевского муниципального округа и функциональных отделов </w:t>
      </w:r>
      <w:r>
        <w:rPr>
          <w:rFonts w:eastAsia="Calibri" w:cs="Liberation Serif;Times New Roman" w:ascii="Liberation Serif;Times New Roman" w:hAnsi="Liberation Serif;Times New Roman"/>
          <w:color w:val="000000"/>
        </w:rPr>
        <w:t xml:space="preserve">администрации </w:t>
      </w:r>
      <w:r>
        <w:rPr>
          <w:rFonts w:cs="Liberation Serif;Times New Roman" w:ascii="Liberation Serif;Times New Roman" w:hAnsi="Liberation Serif;Times New Roman"/>
          <w:color w:val="000000"/>
        </w:rPr>
        <w:t>Малышевского муниципального округа - о</w:t>
      </w:r>
      <w:r>
        <w:rPr>
          <w:rFonts w:eastAsia="Calibri" w:cs="Liberation Serif;Times New Roman" w:ascii="Liberation Serif;Times New Roman" w:hAnsi="Liberation Serif;Times New Roman"/>
          <w:color w:val="000000"/>
        </w:rPr>
        <w:t>беспечение стабильного функционирования и развития единого социально-экономического комплекса Малышевского муниципального округа, эффективное решение вопросов местного значения в интересах населения, улучшение качества жизни, обеспечение прав, свобод и законных интересов граждан Малышевского муниципального округа.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По итогам социально-экономического развития Малышевского округа за 2025 год, достигнутых показателях эффективности деятельности органов местного  самоуправления, деятельности по исполнению полномочий по решению вопросов местного значения, определены  следующие основные задачи на 2026 год:</w:t>
      </w:r>
    </w:p>
    <w:p>
      <w:pPr>
        <w:pStyle w:val="ConsCell"/>
        <w:widowControl/>
        <w:tabs>
          <w:tab w:val="clear" w:pos="708"/>
          <w:tab w:val="left" w:pos="1134" w:leader="none"/>
        </w:tabs>
        <w:ind w:left="0" w:right="0" w:firstLine="709"/>
        <w:rPr>
          <w:rFonts w:ascii="Liberation Serif;Times New Roman" w:hAnsi="Liberation Serif;Times New Roman" w:cs="Liberation Serif;Times New Roman"/>
          <w:i/>
          <w:i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i/>
          <w:color w:val="000000"/>
          <w:sz w:val="24"/>
          <w:szCs w:val="24"/>
        </w:rPr>
        <w:t>1.создание условий для сохранения положительной динамики показателей социально-экономического развития Малышевского округа:</w:t>
      </w:r>
    </w:p>
    <w:p>
      <w:pPr>
        <w:pStyle w:val="ConsCell"/>
        <w:widowControl/>
        <w:tabs>
          <w:tab w:val="clear" w:pos="708"/>
          <w:tab w:val="left" w:pos="1134" w:leader="none"/>
        </w:tabs>
        <w:ind w:left="0" w:right="0" w:firstLine="709"/>
        <w:rPr>
          <w:rFonts w:ascii="Liberation Serif;Times New Roman" w:hAnsi="Liberation Serif;Times New Roman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- обеспечение поступления налоговых и неналоговых доходов в объеме, необходимом для выполнения обязательств органов местного самоуправления Малышевского округа;</w:t>
      </w:r>
    </w:p>
    <w:p>
      <w:pPr>
        <w:pStyle w:val="Default"/>
        <w:ind w:left="0" w:right="0" w:firstLine="709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- повышение доступности и качества муниципальных услуг;</w:t>
      </w:r>
    </w:p>
    <w:p>
      <w:pPr>
        <w:pStyle w:val="Default"/>
        <w:ind w:left="0" w:right="0" w:firstLine="709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 xml:space="preserve">- обеспечение сбалансированности бюджета муниципального округа с целью исполнения публичных обязательств, выплаты заработной платы работникам бюджетной сферы, оплаты первоочередных расходов; </w:t>
      </w:r>
    </w:p>
    <w:p>
      <w:pPr>
        <w:pStyle w:val="Default"/>
        <w:ind w:left="0" w:right="0" w:firstLine="709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- недопущение роста кредиторской задолженности по первоочередным расходам;</w:t>
      </w:r>
    </w:p>
    <w:p>
      <w:pPr>
        <w:pStyle w:val="Default"/>
        <w:ind w:left="0" w:right="0" w:firstLine="709"/>
        <w:jc w:val="both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 xml:space="preserve">- выполнение в полном объёме социальных обязательств перед населением; </w:t>
      </w:r>
    </w:p>
    <w:p>
      <w:pPr>
        <w:pStyle w:val="Style38"/>
        <w:widowControl w:val="false"/>
        <w:tabs>
          <w:tab w:val="clear" w:pos="708"/>
          <w:tab w:val="left" w:pos="1134" w:leader="none"/>
        </w:tabs>
        <w:spacing w:lineRule="auto" w:line="240" w:before="0" w:after="0"/>
        <w:ind w:left="0" w:right="0" w:firstLine="709"/>
        <w:contextualSpacing w:val="false"/>
        <w:jc w:val="both"/>
        <w:rPr/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- устойчивое развитие и стабильное функционирование предприятий Малышевского округа - градообразующего предприятия АО «Малышевское рудоуправление», АО «Мариинский прииск»</w:t>
      </w: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>.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  <w:i/>
          <w:color w:val="000000"/>
        </w:rPr>
        <w:t xml:space="preserve">2. </w:t>
      </w:r>
      <w:r>
        <w:rPr>
          <w:rFonts w:cs="Liberation Serif;Times New Roman" w:ascii="Liberation Serif;Times New Roman" w:hAnsi="Liberation Serif;Times New Roman"/>
          <w:i/>
          <w:color w:val="000000"/>
          <w:lang w:val="ru-RU"/>
        </w:rPr>
        <w:t>Создание комфортной среды проживания: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 xml:space="preserve">- ликвидация несанкционированных свалок; 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bCs/>
          <w:color w:val="000000"/>
        </w:rPr>
      </w:pPr>
      <w:r>
        <w:rPr>
          <w:rFonts w:cs="Liberation Serif;Times New Roman" w:ascii="Liberation Serif;Times New Roman" w:hAnsi="Liberation Serif;Times New Roman"/>
          <w:bCs/>
          <w:color w:val="000000"/>
        </w:rPr>
        <w:t>- переселение граждан из аварийного жилищного фонда.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  <w:i/>
          <w:color w:val="000000"/>
        </w:rPr>
        <w:t xml:space="preserve">3. </w:t>
      </w:r>
      <w:r>
        <w:rPr>
          <w:rFonts w:cs="Liberation Serif;Times New Roman" w:ascii="Liberation Serif;Times New Roman" w:hAnsi="Liberation Serif;Times New Roman"/>
          <w:i/>
          <w:color w:val="000000"/>
          <w:lang w:val="ru-RU"/>
        </w:rPr>
        <w:t>Повышение безопасности дорожного движения</w:t>
      </w:r>
    </w:p>
    <w:p>
      <w:pPr>
        <w:pStyle w:val="Normal"/>
        <w:ind w:left="0" w:right="0" w:firstLine="709"/>
        <w:rPr/>
      </w:pPr>
      <w:r>
        <w:rPr>
          <w:rFonts w:eastAsia="Liberation Serif;Times New Roman" w:cs="Liberation Serif;Times New Roman" w:ascii="Liberation Serif;Times New Roman" w:hAnsi="Liberation Serif;Times New Roman"/>
          <w:i/>
          <w:color w:val="000000"/>
          <w:lang w:val="ru-RU"/>
        </w:rPr>
        <w:t xml:space="preserve"> </w:t>
      </w:r>
      <w:r>
        <w:rPr>
          <w:rFonts w:cs="Liberation Serif;Times New Roman" w:ascii="Liberation Serif;Times New Roman" w:hAnsi="Liberation Serif;Times New Roman"/>
          <w:i w:val="false"/>
          <w:iCs w:val="false"/>
          <w:color w:val="000000"/>
          <w:lang w:val="ru-RU"/>
        </w:rPr>
        <w:t>-  ремонт дорог;</w:t>
      </w:r>
      <w:r>
        <w:rPr>
          <w:rFonts w:cs="Liberation Serif;Times New Roman" w:ascii="Liberation Serif;Times New Roman" w:hAnsi="Liberation Serif;Times New Roman"/>
          <w:i w:val="false"/>
          <w:iCs w:val="false"/>
          <w:color w:val="000000"/>
        </w:rPr>
        <w:t xml:space="preserve"> 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обустройство тротуара по маршруту следования «Дом-школа-дом».</w:t>
      </w:r>
    </w:p>
    <w:p>
      <w:pPr>
        <w:pStyle w:val="Normal"/>
        <w:ind w:left="0" w:right="0" w:firstLine="709"/>
        <w:rPr>
          <w:rFonts w:ascii="Liberation Serif;Times New Roman" w:hAnsi="Liberation Serif;Times New Roman" w:eastAsia="Calibri" w:cs="Liberation Serif;Times New Roman"/>
          <w:i/>
          <w:i/>
          <w:color w:val="000000"/>
        </w:rPr>
      </w:pPr>
      <w:r>
        <w:rPr>
          <w:rFonts w:eastAsia="Calibri" w:cs="Liberation Serif;Times New Roman" w:ascii="Liberation Serif;Times New Roman" w:hAnsi="Liberation Serif;Times New Roman"/>
          <w:i/>
          <w:color w:val="000000"/>
        </w:rPr>
        <w:t>4. Развитие систем жилищно-коммунального хозяйства:</w:t>
      </w:r>
    </w:p>
    <w:p>
      <w:pPr>
        <w:pStyle w:val="Normal"/>
        <w:ind w:left="0" w:right="0" w:firstLine="709"/>
        <w:rPr/>
      </w:pPr>
      <w:r>
        <w:rPr>
          <w:rFonts w:eastAsia="Liberation Serif;Times New Roman" w:cs="Liberation Serif;Times New Roman" w:ascii="Liberation Serif;Times New Roman" w:hAnsi="Liberation Serif;Times New Roman"/>
          <w:i w:val="false"/>
          <w:iCs w:val="false"/>
          <w:color w:val="000000"/>
          <w:sz w:val="24"/>
          <w:szCs w:val="24"/>
          <w:lang w:val="ru-RU"/>
        </w:rPr>
        <w:t xml:space="preserve"> </w:t>
      </w:r>
      <w:r>
        <w:rPr>
          <w:rFonts w:eastAsia="Calibri" w:cs="Liberation Serif;Times New Roman" w:ascii="Liberation Serif;Times New Roman" w:hAnsi="Liberation Serif;Times New Roman"/>
          <w:i w:val="false"/>
          <w:iCs w:val="false"/>
          <w:color w:val="000000"/>
          <w:sz w:val="24"/>
          <w:szCs w:val="24"/>
          <w:lang w:val="ru-RU"/>
        </w:rPr>
        <w:t>- завершение проектирования блочно-модульной котельной в пгт. Малышева.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  <w:i/>
          <w:color w:val="000000"/>
        </w:rPr>
        <w:t xml:space="preserve">5. </w:t>
      </w:r>
      <w:r>
        <w:rPr>
          <w:rFonts w:cs="Liberation Serif;Times New Roman" w:ascii="Liberation Serif;Times New Roman" w:hAnsi="Liberation Serif;Times New Roman"/>
          <w:i/>
          <w:color w:val="000000"/>
          <w:lang w:val="ru-RU"/>
        </w:rPr>
        <w:t>Повышение безопасности дорожного движения</w:t>
      </w:r>
      <w:r>
        <w:rPr>
          <w:rFonts w:cs="Liberation Serif;Times New Roman" w:ascii="Liberation Serif;Times New Roman" w:hAnsi="Liberation Serif;Times New Roman"/>
          <w:i/>
          <w:color w:val="000000"/>
        </w:rPr>
        <w:t xml:space="preserve"> 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обустройство 1 пешеходного перехода в соответствии с национальными стандартами - ремонт дорог общего пользования местного значения.</w:t>
      </w:r>
    </w:p>
    <w:p>
      <w:pPr>
        <w:pStyle w:val="Style38"/>
        <w:spacing w:lineRule="auto" w:line="240" w:before="0" w:after="0"/>
        <w:ind w:left="0" w:right="0" w:firstLine="709"/>
        <w:contextualSpacing w:val="false"/>
        <w:jc w:val="both"/>
        <w:rPr/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 xml:space="preserve">6. </w:t>
      </w:r>
      <w:r>
        <w:rPr>
          <w:rFonts w:eastAsia="Calibri" w:cs="Liberation Serif;Times New Roman" w:ascii="Liberation Serif;Times New Roman" w:hAnsi="Liberation Serif;Times New Roman"/>
          <w:i/>
          <w:color w:val="000000"/>
          <w:sz w:val="24"/>
          <w:szCs w:val="24"/>
        </w:rPr>
        <w:t>Развитие малого и среднего бизнеса</w:t>
      </w:r>
      <w:r>
        <w:rPr>
          <w:rFonts w:eastAsia="Calibri" w:cs="Liberation Serif;Times New Roman" w:ascii="Liberation Serif;Times New Roman" w:hAnsi="Liberation Serif;Times New Roman"/>
          <w:i/>
          <w:color w:val="000000"/>
          <w:sz w:val="24"/>
          <w:szCs w:val="24"/>
          <w:lang w:val="ru-RU"/>
        </w:rPr>
        <w:t xml:space="preserve"> и самозанятости граждан</w:t>
      </w:r>
    </w:p>
    <w:p>
      <w:pPr>
        <w:pStyle w:val="Normal"/>
        <w:ind w:left="0" w:right="0" w:firstLine="709"/>
        <w:rPr/>
      </w:pPr>
      <w:r>
        <w:rPr>
          <w:rFonts w:cs="Liberation Serif;Times New Roman" w:ascii="Liberation Serif;Times New Roman" w:hAnsi="Liberation Serif;Times New Roman"/>
          <w:color w:val="000000"/>
        </w:rPr>
        <w:t xml:space="preserve">- содействие развитию малого и среднего предпринимательства, на территории городского округа. Проведение </w:t>
      </w:r>
      <w:r>
        <w:rPr>
          <w:rFonts w:eastAsia="Calibri" w:cs="Liberation Serif;Times New Roman" w:ascii="Liberation Serif;Times New Roman" w:hAnsi="Liberation Serif;Times New Roman"/>
          <w:color w:val="000000"/>
        </w:rPr>
        <w:t>образовательных мероприятий для популяризации предпринимательской деятельности, самозанятости населения;</w:t>
      </w:r>
    </w:p>
    <w:p>
      <w:pPr>
        <w:pStyle w:val="Style38"/>
        <w:tabs>
          <w:tab w:val="clear" w:pos="708"/>
          <w:tab w:val="left" w:pos="0" w:leader="none"/>
        </w:tabs>
        <w:spacing w:lineRule="auto" w:line="240" w:before="0" w:after="0"/>
        <w:ind w:left="0" w:right="0" w:firstLine="709"/>
        <w:contextualSpacing/>
        <w:jc w:val="both"/>
        <w:rPr/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 xml:space="preserve">- </w:t>
      </w: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создание условий для привлечения инвестиций. Формирование перечня инвестиционных проектов, предполагаемых к реализации на территории Малышевского округа. Содействие в сопровождении инвестиционных  проектов.</w:t>
      </w:r>
    </w:p>
    <w:p>
      <w:pPr>
        <w:pStyle w:val="Style38"/>
        <w:spacing w:lineRule="auto" w:line="240" w:before="0" w:after="0"/>
        <w:ind w:left="0" w:right="0" w:firstLine="709"/>
        <w:contextualSpacing w:val="false"/>
        <w:jc w:val="both"/>
        <w:rPr/>
      </w:pPr>
      <w:r>
        <w:rPr>
          <w:rFonts w:cs="Liberation Serif;Times New Roman" w:ascii="Liberation Serif;Times New Roman" w:hAnsi="Liberation Serif;Times New Roman"/>
          <w:i/>
          <w:color w:val="000000"/>
          <w:sz w:val="24"/>
          <w:szCs w:val="24"/>
          <w:lang w:val="ru-RU"/>
        </w:rPr>
        <w:t>7</w:t>
      </w:r>
      <w:r>
        <w:rPr>
          <w:rFonts w:cs="Liberation Serif;Times New Roman" w:ascii="Liberation Serif;Times New Roman" w:hAnsi="Liberation Serif;Times New Roman"/>
          <w:i/>
          <w:color w:val="000000"/>
          <w:sz w:val="24"/>
          <w:szCs w:val="24"/>
        </w:rPr>
        <w:t>. Обеспечение безопасности граждан</w:t>
      </w:r>
    </w:p>
    <w:p>
      <w:pPr>
        <w:pStyle w:val="Style38"/>
        <w:spacing w:lineRule="auto" w:line="240" w:before="0" w:after="0"/>
        <w:ind w:left="0" w:right="0" w:firstLine="709"/>
        <w:contextualSpacing/>
        <w:jc w:val="both"/>
        <w:rPr/>
      </w:pP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>-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</w:rPr>
        <w:t xml:space="preserve"> дальнейшая модернизация и развитие системы 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 xml:space="preserve">«Безопасный город», система 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</w:rPr>
        <w:t xml:space="preserve">оповещения и информирования населения Малышевского округа 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>«Грифон»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</w:rPr>
        <w:t xml:space="preserve"> с целью предотвращения и снижения тяжести последствий 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>от чре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</w:rPr>
        <w:t>звычайных ситуаций</w:t>
      </w: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>;</w:t>
      </w:r>
    </w:p>
    <w:p>
      <w:pPr>
        <w:pStyle w:val="Style38"/>
        <w:spacing w:lineRule="auto" w:line="240" w:before="0" w:after="0"/>
        <w:ind w:left="0" w:right="0" w:firstLine="709"/>
        <w:contextualSpacing/>
        <w:jc w:val="both"/>
        <w:rPr/>
      </w:pPr>
      <w:r>
        <w:rPr>
          <w:rFonts w:eastAsia="Calibri"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 xml:space="preserve">- </w:t>
      </w: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создание условий для деятельности добровольных формирований населения по обеспечению общественного порядка</w:t>
      </w: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  <w:lang w:val="ru-RU"/>
        </w:rPr>
        <w:t>.</w:t>
      </w:r>
    </w:p>
    <w:p>
      <w:pPr>
        <w:pStyle w:val="Style38"/>
        <w:spacing w:lineRule="auto" w:line="240" w:before="0" w:after="0"/>
        <w:ind w:left="0" w:right="0" w:firstLine="709"/>
        <w:contextualSpacing w:val="false"/>
        <w:jc w:val="both"/>
        <w:rPr/>
      </w:pPr>
      <w:r>
        <w:rPr>
          <w:rFonts w:cs="Liberation Serif;Times New Roman" w:ascii="Liberation Serif;Times New Roman" w:hAnsi="Liberation Serif;Times New Roman"/>
          <w:bCs/>
          <w:i/>
          <w:sz w:val="24"/>
          <w:szCs w:val="24"/>
          <w:lang w:val="ru-RU"/>
        </w:rPr>
        <w:t>8</w:t>
      </w:r>
      <w:r>
        <w:rPr>
          <w:rFonts w:cs="Liberation Serif;Times New Roman" w:ascii="Liberation Serif;Times New Roman" w:hAnsi="Liberation Serif;Times New Roman"/>
          <w:bCs/>
          <w:i/>
          <w:sz w:val="24"/>
          <w:szCs w:val="24"/>
        </w:rPr>
        <w:t xml:space="preserve">. Развитие </w:t>
      </w:r>
      <w:r>
        <w:rPr>
          <w:rFonts w:cs="Liberation Serif;Times New Roman" w:ascii="Liberation Serif;Times New Roman" w:hAnsi="Liberation Serif;Times New Roman"/>
          <w:bCs/>
          <w:i/>
          <w:sz w:val="24"/>
          <w:szCs w:val="24"/>
          <w:lang w:val="ru-RU"/>
        </w:rPr>
        <w:t xml:space="preserve">системы </w:t>
      </w:r>
      <w:r>
        <w:rPr>
          <w:rFonts w:cs="Liberation Serif;Times New Roman" w:ascii="Liberation Serif;Times New Roman" w:hAnsi="Liberation Serif;Times New Roman"/>
          <w:bCs/>
          <w:i/>
          <w:sz w:val="24"/>
          <w:szCs w:val="24"/>
        </w:rPr>
        <w:t>образования</w:t>
      </w:r>
      <w:r>
        <w:rPr>
          <w:rFonts w:cs="Liberation Serif;Times New Roman" w:ascii="Liberation Serif;Times New Roman" w:hAnsi="Liberation Serif;Times New Roman"/>
          <w:bCs/>
          <w:i/>
          <w:sz w:val="24"/>
          <w:szCs w:val="24"/>
          <w:lang w:val="ru-RU"/>
        </w:rPr>
        <w:t xml:space="preserve"> </w:t>
      </w:r>
    </w:p>
    <w:p>
      <w:pPr>
        <w:pStyle w:val="Normal"/>
        <w:ind w:left="0" w:right="0" w:firstLine="709"/>
        <w:rPr/>
      </w:pPr>
      <w:r>
        <w:rPr>
          <w:rFonts w:eastAsia="Liberation Serif;Times New Roman" w:cs="Liberation Serif;Times New Roman" w:ascii="Liberation Serif;Times New Roman" w:hAnsi="Liberation Serif;Times New Roman"/>
        </w:rPr>
        <w:t xml:space="preserve"> </w:t>
      </w:r>
      <w:r>
        <w:rPr>
          <w:rFonts w:cs="Liberation Serif;Times New Roman" w:ascii="Liberation Serif;Times New Roman" w:hAnsi="Liberation Serif;Times New Roman"/>
        </w:rPr>
        <w:t>- введение обновленных ФГОС на ступенях начального и основного общего образования;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- продолжение работы с Благотворительным фондом «Достойным лучшее» и фондом поддержки талантливых детей и молодежи «Уральский образовательный центр «Золотое сечение» с целью поддержки талантливых детей и молодежи Малышевского округа;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- проведение ремонтов в образовательных учреждениях.</w:t>
      </w:r>
    </w:p>
    <w:p>
      <w:pPr>
        <w:pStyle w:val="Style39"/>
        <w:shd w:val="clear" w:fill="FFFFFF"/>
        <w:spacing w:before="0" w:after="0"/>
        <w:ind w:left="0" w:right="0" w:firstLine="709"/>
        <w:rPr>
          <w:rFonts w:ascii="Liberation Serif;Times New Roman" w:hAnsi="Liberation Serif;Times New Roman" w:cs="Liberation Serif;Times New Roman"/>
          <w:i/>
          <w:i/>
          <w:iCs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i/>
          <w:iCs/>
          <w:color w:val="000000"/>
          <w:sz w:val="24"/>
          <w:szCs w:val="24"/>
        </w:rPr>
        <w:t>9.Развитие физической культуры и спорта:</w:t>
      </w:r>
    </w:p>
    <w:p>
      <w:pPr>
        <w:pStyle w:val="Docdata"/>
        <w:spacing w:before="0" w:after="0"/>
        <w:ind w:left="0" w:right="0" w:firstLine="709"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реконструкция чаши плавательного бассейна «Рубин»;</w:t>
      </w:r>
    </w:p>
    <w:p>
      <w:pPr>
        <w:pStyle w:val="Docdata"/>
        <w:spacing w:before="0" w:after="0"/>
        <w:ind w:left="0" w:right="0" w:firstLine="709"/>
        <w:jc w:val="both"/>
        <w:rPr>
          <w:rFonts w:ascii="Liberation Serif;Times New Roman" w:hAnsi="Liberation Serif;Times New Roman" w:cs="Liberation Serif;Times New Roman"/>
          <w:color w:val="000000"/>
        </w:rPr>
      </w:pPr>
      <w:r>
        <w:rPr>
          <w:rFonts w:cs="Liberation Serif;Times New Roman" w:ascii="Liberation Serif;Times New Roman" w:hAnsi="Liberation Serif;Times New Roman"/>
          <w:color w:val="000000"/>
        </w:rPr>
        <w:t>- обустройство освещения стадиона«Рубин»;</w:t>
      </w:r>
    </w:p>
    <w:p>
      <w:pPr>
        <w:pStyle w:val="Style39"/>
        <w:spacing w:before="0" w:after="0"/>
        <w:ind w:left="0" w:right="0" w:firstLine="709"/>
        <w:rPr>
          <w:rFonts w:ascii="Liberation Serif;Times New Roman" w:hAnsi="Liberation Serif;Times New Roman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- разработка паспорта безопасности спортивного ядра стадиона «Рубин»;</w:t>
      </w:r>
    </w:p>
    <w:p>
      <w:pPr>
        <w:pStyle w:val="Style39"/>
        <w:spacing w:before="0" w:after="0"/>
        <w:ind w:left="0" w:right="0" w:firstLine="709"/>
        <w:rPr>
          <w:rFonts w:ascii="Liberation Serif;Times New Roman" w:hAnsi="Liberation Serif;Times New Roman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- разработка документации для внесения сведений объекта спорта во Всероссийский реестр объектов спорта;</w:t>
      </w:r>
    </w:p>
    <w:p>
      <w:pPr>
        <w:pStyle w:val="Style39"/>
        <w:spacing w:before="0" w:after="0"/>
        <w:ind w:left="0" w:right="0" w:firstLine="709"/>
        <w:rPr>
          <w:rFonts w:ascii="Liberation Serif;Times New Roman" w:hAnsi="Liberation Serif;Times New Roman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- установка камер видеонаблюдения, системы оповещения и управления эвакуацией людей на спортивном ядре стадиона «Рубин»;</w:t>
      </w:r>
    </w:p>
    <w:p>
      <w:pPr>
        <w:pStyle w:val="Style39"/>
        <w:spacing w:before="0" w:after="0"/>
        <w:ind w:left="0" w:right="0" w:firstLine="709"/>
        <w:rPr>
          <w:rFonts w:ascii="Liberation Serif;Times New Roman" w:hAnsi="Liberation Serif;Times New Roman" w:cs="Liberation Serif;Times New Roman"/>
          <w:color w:val="000000"/>
          <w:sz w:val="24"/>
          <w:szCs w:val="24"/>
        </w:rPr>
      </w:pPr>
      <w:r>
        <w:rPr>
          <w:rFonts w:cs="Liberation Serif;Times New Roman" w:ascii="Liberation Serif;Times New Roman" w:hAnsi="Liberation Serif;Times New Roman"/>
          <w:color w:val="000000"/>
          <w:sz w:val="24"/>
          <w:szCs w:val="24"/>
        </w:rPr>
        <w:t>- установка проходной системы на спортивном ядре стадиона «Рубин».</w:t>
      </w:r>
    </w:p>
    <w:p>
      <w:pPr>
        <w:pStyle w:val="Style39"/>
        <w:shd w:val="clear" w:fill="FFFFFF"/>
        <w:spacing w:before="0" w:after="0"/>
        <w:ind w:left="0" w:right="0" w:firstLine="709"/>
        <w:rPr/>
      </w:pPr>
      <w:r>
        <w:rPr>
          <w:rFonts w:cs="Liberation Serif;Times New Roman" w:ascii="Liberation Serif;Times New Roman" w:hAnsi="Liberation Serif;Times New Roman"/>
          <w:color w:val="000000"/>
        </w:rPr>
        <w:t>10</w:t>
      </w:r>
      <w:r>
        <w:rPr>
          <w:rFonts w:cs="Liberation Serif;Times New Roman" w:ascii="Liberation Serif;Times New Roman" w:hAnsi="Liberation Serif;Times New Roman"/>
          <w:i/>
          <w:iCs/>
          <w:color w:val="000000"/>
          <w:sz w:val="24"/>
          <w:szCs w:val="24"/>
        </w:rPr>
        <w:t>. Развитие культуры: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 xml:space="preserve">- в целях обеспечения доступности библиотеки приобретение визуально-акустического табло и телескопического пандуса; 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>- модернизация системы видеонаблюдения библиотеки;</w:t>
      </w:r>
    </w:p>
    <w:p>
      <w:pPr>
        <w:pStyle w:val="Normal"/>
        <w:ind w:left="0" w:right="0" w:firstLine="709"/>
        <w:rPr>
          <w:rFonts w:ascii="Liberation Serif;Times New Roman" w:hAnsi="Liberation Serif;Times New Roman" w:cs="Liberation Serif;Times New Roman"/>
        </w:rPr>
      </w:pPr>
      <w:r>
        <w:rPr>
          <w:rFonts w:cs="Liberation Serif;Times New Roman" w:ascii="Liberation Serif;Times New Roman" w:hAnsi="Liberation Serif;Times New Roman"/>
        </w:rPr>
        <w:t xml:space="preserve">-  выполнение требований АТЗ здания МАУК МДК «Русь» и Обелиска в честь дня Победы. </w:t>
      </w:r>
    </w:p>
    <w:p>
      <w:pPr>
        <w:pStyle w:val="Normal"/>
        <w:ind w:firstLine="709"/>
        <w:rPr>
          <w:rFonts w:ascii="Liberation Serif" w:hAnsi="Liberation Serif" w:eastAsia="Calibri" w:cs="Liberation Serif"/>
          <w:i/>
          <w:i/>
          <w:color w:val="000000"/>
          <w:highlight w:val="none"/>
          <w:shd w:fill="FFFF00" w:val="clear"/>
        </w:rPr>
      </w:pPr>
      <w:r>
        <w:rPr>
          <w:rFonts w:eastAsia="Calibri" w:cs="Liberation Serif" w:ascii="Liberation Serif" w:hAnsi="Liberation Serif"/>
          <w:i/>
          <w:color w:val="000000"/>
          <w:shd w:fill="FFFF00" w:val="clear"/>
        </w:rPr>
      </w:r>
    </w:p>
    <w:p>
      <w:pPr>
        <w:pStyle w:val="Normal"/>
        <w:ind w:firstLine="709"/>
        <w:rPr>
          <w:rFonts w:ascii="Liberation Serif" w:hAnsi="Liberation Serif" w:eastAsia="Calibri" w:cs="Liberation Serif"/>
          <w:i/>
          <w:i/>
          <w:color w:val="000000"/>
          <w:highlight w:val="none"/>
          <w:shd w:fill="FFFF00" w:val="clear"/>
        </w:rPr>
      </w:pPr>
      <w:r>
        <w:rPr>
          <w:rFonts w:eastAsia="Calibri" w:cs="Liberation Serif" w:ascii="Liberation Serif" w:hAnsi="Liberation Serif"/>
          <w:i/>
          <w:color w:val="000000"/>
          <w:shd w:fill="FFFF00" w:val="clear"/>
        </w:rPr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rPr>
          <w:highlight w:val="none"/>
          <w:shd w:fill="auto" w:val="clear"/>
        </w:rPr>
      </w:pPr>
      <w:r>
        <w:rPr>
          <w:rFonts w:cs="Liberation Serif" w:ascii="Liberation Serif" w:hAnsi="Liberation Serif"/>
          <w:color w:val="000000"/>
          <w:shd w:fill="auto" w:val="clear"/>
          <w:lang w:val="ru-RU" w:eastAsia="x-none"/>
        </w:rPr>
        <w:t xml:space="preserve">Глава </w:t>
      </w:r>
      <w:r>
        <w:rPr>
          <w:rFonts w:cs="Liberation Serif" w:ascii="Liberation Serif" w:hAnsi="Liberation Serif"/>
          <w:color w:val="000000"/>
          <w:shd w:fill="auto" w:val="clear"/>
          <w:lang w:val="x-none" w:eastAsia="x-none"/>
        </w:rPr>
        <w:t>Малышевского муниципального  округа</w:t>
      </w:r>
      <w:r>
        <w:rPr>
          <w:rFonts w:cs="Liberation Serif" w:ascii="Liberation Serif" w:hAnsi="Liberation Serif"/>
          <w:color w:val="000000"/>
          <w:shd w:fill="auto" w:val="clear"/>
          <w:lang w:eastAsia="x-none"/>
        </w:rPr>
        <w:tab/>
        <w:tab/>
        <w:tab/>
        <w:tab/>
        <w:tab/>
        <w:tab/>
        <w:t>М.Ю. Рубцова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567" w:gutter="0" w:header="709" w:top="1134" w:footer="709" w:bottom="1134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Arial CYR">
    <w:charset w:val="cc"/>
    <w:family w:val="roman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3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3990"/>
              <wp:effectExtent l="0" t="0" r="0" b="0"/>
              <wp:wrapSquare wrapText="bothSides"/>
              <wp:docPr id="5" name="Врезка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" path="m0,0l-2147483645,0l-2147483645,-2147483646l0,-2147483646xe" stroked="f" o:allowincell="f" style="position:absolute;margin-left:498.1pt;margin-top:0.05pt;width:12pt;height:13.6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3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3990"/>
              <wp:effectExtent l="0" t="0" r="0" b="0"/>
              <wp:wrapSquare wrapText="bothSides"/>
              <wp:docPr id="7" name="Врезка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1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" path="m0,0l-2147483645,0l-2147483645,-2147483646l0,-2147483646xe" stroked="f" o:allowincell="f" style="position:absolute;margin-left:498.1pt;margin-top:0.05pt;width:12pt;height:13.6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31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1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9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9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/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/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/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57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99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57334"/>
    <w:pPr>
      <w:widowControl/>
      <w:suppressAutoHyphens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1"/>
    <w:qFormat/>
    <w:rsid w:val="008670d2"/>
    <w:pPr>
      <w:keepNext w:val="true"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rsid w:val="00e57334"/>
    <w:pPr>
      <w:keepNext w:val="true"/>
      <w:numPr>
        <w:ilvl w:val="0"/>
        <w:numId w:val="1"/>
      </w:numPr>
      <w:spacing w:lineRule="exact" w:line="360" w:before="0" w:after="240"/>
      <w:outlineLvl w:val="1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e57334"/>
    <w:rPr/>
  </w:style>
  <w:style w:type="character" w:styleId="Strong">
    <w:name w:val="Strong"/>
    <w:uiPriority w:val="22"/>
    <w:qFormat/>
    <w:rsid w:val="00e57334"/>
    <w:rPr>
      <w:b/>
      <w:bCs/>
    </w:rPr>
  </w:style>
  <w:style w:type="character" w:styleId="Style12">
    <w:name w:val="Hyperlink"/>
    <w:uiPriority w:val="99"/>
    <w:rsid w:val="00e57334"/>
    <w:rPr>
      <w:color w:val="0000FF"/>
      <w:u w:val="single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df4b78"/>
    <w:rPr>
      <w:b/>
      <w:bCs/>
      <w:sz w:val="30"/>
      <w:szCs w:val="24"/>
    </w:rPr>
  </w:style>
  <w:style w:type="character" w:styleId="Style13">
    <w:name w:val="Символ сноски"/>
    <w:qFormat/>
    <w:rsid w:val="00df4b78"/>
    <w:rPr>
      <w:vertAlign w:val="superscript"/>
    </w:rPr>
  </w:style>
  <w:style w:type="character" w:styleId="Style14">
    <w:name w:val="Footnote Reference"/>
    <w:rPr>
      <w:vertAlign w:val="superscript"/>
    </w:rPr>
  </w:style>
  <w:style w:type="character" w:styleId="Style15" w:customStyle="1">
    <w:name w:val="Текст сноски Знак"/>
    <w:basedOn w:val="DefaultParagraphFont"/>
    <w:qFormat/>
    <w:rsid w:val="00df4b78"/>
    <w:rPr/>
  </w:style>
  <w:style w:type="character" w:styleId="Style16" w:customStyle="1">
    <w:name w:val="Основной текст с отступом Знак"/>
    <w:basedOn w:val="DefaultParagraphFont"/>
    <w:qFormat/>
    <w:rsid w:val="0092160a"/>
    <w:rPr>
      <w:sz w:val="30"/>
      <w:szCs w:val="24"/>
    </w:rPr>
  </w:style>
  <w:style w:type="character" w:styleId="FontStyle14" w:customStyle="1">
    <w:name w:val="Font Style14"/>
    <w:basedOn w:val="DefaultParagraphFont"/>
    <w:uiPriority w:val="99"/>
    <w:qFormat/>
    <w:rsid w:val="009a78e4"/>
    <w:rPr>
      <w:rFonts w:ascii="Times New Roman" w:hAnsi="Times New Roman" w:cs="Times New Roman"/>
      <w:b/>
      <w:bCs/>
      <w:sz w:val="24"/>
      <w:szCs w:val="24"/>
    </w:rPr>
  </w:style>
  <w:style w:type="character" w:styleId="22" w:customStyle="1">
    <w:name w:val="Основной текст 2 Знак"/>
    <w:basedOn w:val="DefaultParagraphFont"/>
    <w:link w:val="BodyText2"/>
    <w:uiPriority w:val="99"/>
    <w:qFormat/>
    <w:rsid w:val="00e81a97"/>
    <w:rPr>
      <w:rFonts w:ascii="Calibri" w:hAnsi="Calibri" w:cs="Calibri"/>
      <w:sz w:val="22"/>
      <w:szCs w:val="22"/>
    </w:rPr>
  </w:style>
  <w:style w:type="character" w:styleId="Style17" w:customStyle="1">
    <w:name w:val="Основной текст Знак"/>
    <w:basedOn w:val="DefaultParagraphFont"/>
    <w:qFormat/>
    <w:rsid w:val="00c0131d"/>
    <w:rPr>
      <w:sz w:val="24"/>
      <w:szCs w:val="24"/>
    </w:rPr>
  </w:style>
  <w:style w:type="character" w:styleId="Style18" w:customStyle="1">
    <w:name w:val="Текст выноски Знак"/>
    <w:basedOn w:val="DefaultParagraphFont"/>
    <w:link w:val="BalloonText"/>
    <w:qFormat/>
    <w:rsid w:val="003c3780"/>
    <w:rPr>
      <w:rFonts w:ascii="Tahoma" w:hAnsi="Tahoma" w:cs="Tahoma"/>
      <w:sz w:val="16"/>
      <w:szCs w:val="16"/>
    </w:rPr>
  </w:style>
  <w:style w:type="character" w:styleId="FontStyle19" w:customStyle="1">
    <w:name w:val="Font Style19"/>
    <w:basedOn w:val="DefaultParagraphFont"/>
    <w:uiPriority w:val="99"/>
    <w:qFormat/>
    <w:rsid w:val="002a66b0"/>
    <w:rPr>
      <w:rFonts w:ascii="Times New Roman" w:hAnsi="Times New Roman" w:cs="Times New Roman"/>
      <w:color w:val="000000"/>
      <w:sz w:val="26"/>
      <w:szCs w:val="26"/>
    </w:rPr>
  </w:style>
  <w:style w:type="character" w:styleId="11" w:customStyle="1">
    <w:name w:val="Заголовок 1 Знак"/>
    <w:basedOn w:val="DefaultParagraphFont"/>
    <w:qFormat/>
    <w:rsid w:val="008670d2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Style19" w:customStyle="1">
    <w:name w:val="Основной текст_"/>
    <w:basedOn w:val="DefaultParagraphFont"/>
    <w:link w:val="14"/>
    <w:qFormat/>
    <w:rsid w:val="00155f50"/>
    <w:rPr>
      <w:sz w:val="26"/>
      <w:szCs w:val="26"/>
      <w:shd w:fill="FFFFFF" w:val="clear"/>
    </w:rPr>
  </w:style>
  <w:style w:type="character" w:styleId="3" w:customStyle="1">
    <w:name w:val="Основной текст 3 Знак"/>
    <w:basedOn w:val="DefaultParagraphFont"/>
    <w:link w:val="BodyText3"/>
    <w:qFormat/>
    <w:rsid w:val="00743128"/>
    <w:rPr>
      <w:sz w:val="16"/>
      <w:szCs w:val="16"/>
    </w:rPr>
  </w:style>
  <w:style w:type="character" w:styleId="FontStyle13" w:customStyle="1">
    <w:name w:val="Font Style13"/>
    <w:qFormat/>
    <w:rsid w:val="00102086"/>
    <w:rPr>
      <w:rFonts w:ascii="Times New Roman" w:hAnsi="Times New Roman" w:cs="Times New Roman"/>
      <w:sz w:val="26"/>
      <w:szCs w:val="26"/>
    </w:rPr>
  </w:style>
  <w:style w:type="character" w:styleId="Style20">
    <w:name w:val="Emphasis"/>
    <w:basedOn w:val="DefaultParagraphFont"/>
    <w:uiPriority w:val="20"/>
    <w:qFormat/>
    <w:rsid w:val="009e0a8f"/>
    <w:rPr>
      <w:i/>
      <w:iCs/>
    </w:rPr>
  </w:style>
  <w:style w:type="character" w:styleId="Appleconvertedspace" w:customStyle="1">
    <w:name w:val="apple-converted-space"/>
    <w:basedOn w:val="DefaultParagraphFont"/>
    <w:qFormat/>
    <w:rsid w:val="009e0a8f"/>
    <w:rPr/>
  </w:style>
  <w:style w:type="character" w:styleId="Extendedtextshort" w:customStyle="1">
    <w:name w:val="extended-text__short"/>
    <w:basedOn w:val="DefaultParagraphFont"/>
    <w:qFormat/>
    <w:rsid w:val="00e543c7"/>
    <w:rPr/>
  </w:style>
  <w:style w:type="character" w:styleId="Style21" w:customStyle="1">
    <w:name w:val="Абзац списка Знак"/>
    <w:link w:val="ListParagraph"/>
    <w:uiPriority w:val="99"/>
    <w:qFormat/>
    <w:rsid w:val="00692543"/>
    <w:rPr>
      <w:rFonts w:ascii="Calibri" w:hAnsi="Calibri"/>
      <w:sz w:val="22"/>
      <w:szCs w:val="22"/>
    </w:rPr>
  </w:style>
  <w:style w:type="character" w:styleId="23" w:customStyle="1">
    <w:name w:val="Основной текст (2)_"/>
    <w:link w:val="24"/>
    <w:qFormat/>
    <w:rsid w:val="006a7287"/>
    <w:rPr>
      <w:sz w:val="28"/>
      <w:szCs w:val="28"/>
      <w:shd w:fill="FFFFFF" w:val="clear"/>
    </w:rPr>
  </w:style>
  <w:style w:type="character" w:styleId="ConsPlusNormal" w:customStyle="1">
    <w:name w:val="ConsPlusNormal Знак"/>
    <w:link w:val="ConsPlusNormal1"/>
    <w:uiPriority w:val="99"/>
    <w:qFormat/>
    <w:locked/>
    <w:rsid w:val="00a4334a"/>
    <w:rPr>
      <w:rFonts w:ascii="Arial" w:hAnsi="Arial" w:cs="Arial"/>
    </w:rPr>
  </w:style>
  <w:style w:type="character" w:styleId="12" w:customStyle="1">
    <w:name w:val="Заголовок №1_"/>
    <w:basedOn w:val="DefaultParagraphFont"/>
    <w:link w:val="15"/>
    <w:qFormat/>
    <w:rsid w:val="0013552c"/>
    <w:rPr>
      <w:b/>
      <w:bCs/>
      <w:sz w:val="28"/>
      <w:szCs w:val="28"/>
      <w:shd w:fill="FFFFFF" w:val="clear"/>
    </w:rPr>
  </w:style>
  <w:style w:type="character" w:styleId="Fontstyle21" w:customStyle="1">
    <w:name w:val="fontstyle21"/>
    <w:basedOn w:val="DefaultParagraphFont"/>
    <w:qFormat/>
    <w:rsid w:val="0061239f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273b8"/>
    <w:rPr>
      <w:color w:val="605E5C"/>
      <w:shd w:fill="E1DFDD" w:val="clear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3">
    <w:name w:val="Body Text"/>
    <w:basedOn w:val="Normal"/>
    <w:link w:val="Style17"/>
    <w:rsid w:val="00c0131d"/>
    <w:pPr>
      <w:spacing w:before="0" w:after="120"/>
    </w:pPr>
    <w:rPr/>
  </w:style>
  <w:style w:type="paragraph" w:styleId="Style24">
    <w:name w:val="List"/>
    <w:basedOn w:val="Style23"/>
    <w:pPr/>
    <w:rPr>
      <w:rFonts w:cs="Lucida Sans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ucida Sans"/>
    </w:rPr>
  </w:style>
  <w:style w:type="paragraph" w:styleId="Style27">
    <w:name w:val="Body Text Indent"/>
    <w:basedOn w:val="Normal"/>
    <w:link w:val="Style16"/>
    <w:rsid w:val="00e57334"/>
    <w:pPr>
      <w:ind w:firstLine="720"/>
    </w:pPr>
    <w:rPr>
      <w:sz w:val="30"/>
    </w:rPr>
  </w:style>
  <w:style w:type="paragraph" w:styleId="BodyTextIndent2">
    <w:name w:val="Body Text Indent 2"/>
    <w:basedOn w:val="Normal"/>
    <w:link w:val="21"/>
    <w:qFormat/>
    <w:rsid w:val="00e57334"/>
    <w:pPr>
      <w:ind w:firstLine="720"/>
    </w:pPr>
    <w:rPr>
      <w:b/>
      <w:bCs/>
      <w:sz w:val="30"/>
    </w:rPr>
  </w:style>
  <w:style w:type="paragraph" w:styleId="Style28">
    <w:name w:val="Колонтитул"/>
    <w:basedOn w:val="Normal"/>
    <w:qFormat/>
    <w:pPr/>
    <w:rPr/>
  </w:style>
  <w:style w:type="paragraph" w:styleId="Style29">
    <w:name w:val="Header"/>
    <w:basedOn w:val="Normal"/>
    <w:rsid w:val="00e5733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Title"/>
    <w:basedOn w:val="Normal"/>
    <w:qFormat/>
    <w:rsid w:val="00e57334"/>
    <w:pPr>
      <w:spacing w:before="0" w:after="240"/>
      <w:jc w:val="center"/>
    </w:pPr>
    <w:rPr>
      <w:b/>
      <w:bCs/>
      <w:sz w:val="28"/>
    </w:rPr>
  </w:style>
  <w:style w:type="paragraph" w:styleId="ConsPlusTitle" w:customStyle="1">
    <w:name w:val="ConsPlusTitle"/>
    <w:qFormat/>
    <w:rsid w:val="00e57334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ru-RU" w:bidi="ar-SA"/>
    </w:rPr>
  </w:style>
  <w:style w:type="paragraph" w:styleId="ConsPlusNormal1" w:customStyle="1">
    <w:name w:val="ConsPlusNormal"/>
    <w:link w:val="ConsPlusNormal"/>
    <w:uiPriority w:val="99"/>
    <w:qFormat/>
    <w:rsid w:val="00e57334"/>
    <w:pPr>
      <w:widowControl w:val="false"/>
      <w:suppressAutoHyphens w:val="true"/>
      <w:bidi w:val="0"/>
      <w:spacing w:before="0" w:after="0"/>
      <w:ind w:firstLine="720"/>
      <w:jc w:val="both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Nonformat" w:customStyle="1">
    <w:name w:val="ConsPlusNonformat"/>
    <w:qFormat/>
    <w:rsid w:val="00e57334"/>
    <w:pPr>
      <w:widowControl w:val="false"/>
      <w:suppressAutoHyphens w:val="true"/>
      <w:bidi w:val="0"/>
      <w:spacing w:before="0" w:after="0"/>
      <w:jc w:val="both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13" w:customStyle="1">
    <w:name w:val="Без интервала1"/>
    <w:qFormat/>
    <w:rsid w:val="00102086"/>
    <w:pPr>
      <w:widowControl/>
      <w:suppressAutoHyphens w:val="true"/>
      <w:bidi w:val="0"/>
      <w:spacing w:before="0" w:after="0"/>
      <w:jc w:val="both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DocumentMap">
    <w:name w:val="Document Map"/>
    <w:basedOn w:val="Normal"/>
    <w:semiHidden/>
    <w:qFormat/>
    <w:rsid w:val="00e5733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dyTextIndent3">
    <w:name w:val="Body Text Indent 3"/>
    <w:basedOn w:val="Normal"/>
    <w:qFormat/>
    <w:rsid w:val="00e57334"/>
    <w:pPr>
      <w:widowControl w:val="false"/>
      <w:shd w:val="clear" w:color="auto" w:fill="FFFFFF"/>
      <w:tabs>
        <w:tab w:val="clear" w:pos="708"/>
        <w:tab w:val="left" w:pos="1066" w:leader="none"/>
      </w:tabs>
      <w:ind w:left="360" w:hanging="360"/>
    </w:pPr>
    <w:rPr>
      <w:bCs/>
      <w:spacing w:val="6"/>
      <w:sz w:val="28"/>
      <w:szCs w:val="28"/>
    </w:rPr>
  </w:style>
  <w:style w:type="paragraph" w:styleId="Style31">
    <w:name w:val="Footer"/>
    <w:basedOn w:val="Normal"/>
    <w:rsid w:val="00e57334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e57334"/>
    <w:pPr>
      <w:spacing w:beforeAutospacing="1" w:afterAutospacing="1"/>
    </w:pPr>
    <w:rPr>
      <w:rFonts w:ascii="Arial CYR" w:hAnsi="Arial CYR" w:cs="Arial CYR"/>
      <w:sz w:val="20"/>
      <w:szCs w:val="20"/>
    </w:rPr>
  </w:style>
  <w:style w:type="paragraph" w:styleId="Aright1" w:customStyle="1">
    <w:name w:val="aright1"/>
    <w:basedOn w:val="Normal"/>
    <w:qFormat/>
    <w:rsid w:val="00f80ecf"/>
    <w:pPr>
      <w:jc w:val="right"/>
    </w:pPr>
    <w:rPr/>
  </w:style>
  <w:style w:type="paragraph" w:styleId="Style32">
    <w:name w:val="Footnote Text"/>
    <w:basedOn w:val="Normal"/>
    <w:link w:val="Style15"/>
    <w:rsid w:val="00df4b78"/>
    <w:pPr/>
    <w:rPr>
      <w:sz w:val="20"/>
      <w:szCs w:val="20"/>
    </w:rPr>
  </w:style>
  <w:style w:type="paragraph" w:styleId="BodyText2">
    <w:name w:val="Body Text 2"/>
    <w:basedOn w:val="Normal"/>
    <w:link w:val="22"/>
    <w:uiPriority w:val="99"/>
    <w:qFormat/>
    <w:rsid w:val="00e81a97"/>
    <w:pPr>
      <w:spacing w:lineRule="auto" w:line="480" w:before="0" w:after="120"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link w:val="Style21"/>
    <w:uiPriority w:val="99"/>
    <w:qFormat/>
    <w:rsid w:val="00c0131d"/>
    <w:pPr>
      <w:spacing w:lineRule="auto" w:line="276" w:before="0" w:after="200"/>
      <w:ind w:left="720" w:hanging="0"/>
      <w:contextualSpacing/>
      <w:jc w:val="left"/>
    </w:pPr>
    <w:rPr>
      <w:rFonts w:ascii="Calibri" w:hAnsi="Calibri"/>
      <w:sz w:val="22"/>
      <w:szCs w:val="22"/>
    </w:rPr>
  </w:style>
  <w:style w:type="paragraph" w:styleId="ConsPlusCell" w:customStyle="1">
    <w:name w:val="ConsPlusCell"/>
    <w:qFormat/>
    <w:rsid w:val="003d26d7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33" w:customStyle="1">
    <w:name w:val="Знак Знак Знак Знак"/>
    <w:basedOn w:val="Normal"/>
    <w:qFormat/>
    <w:rsid w:val="009d55a1"/>
    <w:pPr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Style34" w:customStyle="1">
    <w:name w:val="Знак"/>
    <w:basedOn w:val="Normal"/>
    <w:qFormat/>
    <w:rsid w:val="005a5b34"/>
    <w:pPr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8"/>
    <w:qFormat/>
    <w:rsid w:val="003c3780"/>
    <w:pPr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835821"/>
    <w:pPr>
      <w:widowControl w:val="false"/>
      <w:shd w:val="clear" w:color="auto" w:fill="FFFFFF"/>
      <w:tabs>
        <w:tab w:val="clear" w:pos="708"/>
        <w:tab w:val="left" w:pos="4962" w:leader="none"/>
      </w:tabs>
      <w:spacing w:before="173" w:after="0"/>
      <w:ind w:left="2390" w:hanging="0"/>
      <w:jc w:val="left"/>
    </w:pPr>
    <w:rPr>
      <w:rFonts w:ascii="Arial" w:hAnsi="Arial"/>
      <w:b/>
      <w:color w:val="000000"/>
      <w:spacing w:val="-13"/>
      <w:sz w:val="36"/>
      <w:szCs w:val="20"/>
    </w:rPr>
  </w:style>
  <w:style w:type="paragraph" w:styleId="14" w:customStyle="1">
    <w:name w:val="Основной текст1"/>
    <w:basedOn w:val="Normal"/>
    <w:link w:val="Style19"/>
    <w:qFormat/>
    <w:rsid w:val="00155f50"/>
    <w:pPr>
      <w:widowControl w:val="false"/>
      <w:shd w:val="clear" w:color="auto" w:fill="FFFFFF"/>
      <w:spacing w:lineRule="exact" w:line="322" w:before="300" w:after="0"/>
    </w:pPr>
    <w:rPr>
      <w:sz w:val="26"/>
      <w:szCs w:val="26"/>
    </w:rPr>
  </w:style>
  <w:style w:type="paragraph" w:styleId="BodyText3">
    <w:name w:val="Body Text 3"/>
    <w:basedOn w:val="Normal"/>
    <w:link w:val="3"/>
    <w:qFormat/>
    <w:rsid w:val="00743128"/>
    <w:pPr>
      <w:spacing w:before="0" w:after="120"/>
    </w:pPr>
    <w:rPr>
      <w:sz w:val="16"/>
      <w:szCs w:val="16"/>
    </w:rPr>
  </w:style>
  <w:style w:type="paragraph" w:styleId="ConsCell" w:customStyle="1">
    <w:name w:val="ConsCell"/>
    <w:qFormat/>
    <w:rsid w:val="00a82f42"/>
    <w:pPr>
      <w:widowControl w:val="false"/>
      <w:suppressAutoHyphens w:val="true"/>
      <w:bidi w:val="0"/>
      <w:spacing w:before="0" w:after="0"/>
      <w:ind w:right="19772" w:firstLine="680"/>
      <w:jc w:val="both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81" w:customStyle="1">
    <w:name w:val="Style8"/>
    <w:basedOn w:val="Normal"/>
    <w:qFormat/>
    <w:rsid w:val="00102086"/>
    <w:pPr>
      <w:widowControl w:val="false"/>
      <w:spacing w:lineRule="exact" w:line="322"/>
      <w:ind w:firstLine="701"/>
    </w:pPr>
    <w:rPr/>
  </w:style>
  <w:style w:type="paragraph" w:styleId="Nospacing1" w:customStyle="1">
    <w:name w:val="nospacing1"/>
    <w:basedOn w:val="Normal"/>
    <w:qFormat/>
    <w:rsid w:val="0013173a"/>
    <w:pPr>
      <w:spacing w:beforeAutospacing="1" w:afterAutospacing="1"/>
      <w:jc w:val="left"/>
    </w:pPr>
    <w:rPr>
      <w:rFonts w:eastAsia="Calibri"/>
    </w:rPr>
  </w:style>
  <w:style w:type="paragraph" w:styleId="Formattexttopleveltext" w:customStyle="1">
    <w:name w:val="formattext topleveltext"/>
    <w:basedOn w:val="Normal"/>
    <w:qFormat/>
    <w:rsid w:val="00c461d4"/>
    <w:pPr>
      <w:spacing w:beforeAutospacing="1" w:afterAutospacing="1"/>
      <w:jc w:val="left"/>
    </w:pPr>
    <w:rPr/>
  </w:style>
  <w:style w:type="paragraph" w:styleId="24" w:customStyle="1">
    <w:name w:val="Основной текст (2)"/>
    <w:basedOn w:val="Normal"/>
    <w:link w:val="23"/>
    <w:qFormat/>
    <w:rsid w:val="006a7287"/>
    <w:pPr>
      <w:widowControl w:val="false"/>
      <w:shd w:val="clear" w:color="auto" w:fill="FFFFFF"/>
      <w:spacing w:lineRule="exact" w:line="322" w:before="420" w:after="0"/>
    </w:pPr>
    <w:rPr>
      <w:sz w:val="28"/>
      <w:szCs w:val="28"/>
    </w:rPr>
  </w:style>
  <w:style w:type="paragraph" w:styleId="Default" w:customStyle="1">
    <w:name w:val="Default"/>
    <w:qFormat/>
    <w:rsid w:val="00c8706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Msonormalmailrucssattributepostfix" w:customStyle="1">
    <w:name w:val="msonormal_mailru_css_attribute_postfix"/>
    <w:basedOn w:val="Normal"/>
    <w:qFormat/>
    <w:rsid w:val="000f7f99"/>
    <w:pPr>
      <w:spacing w:beforeAutospacing="1" w:afterAutospacing="1"/>
      <w:jc w:val="left"/>
    </w:pPr>
    <w:rPr/>
  </w:style>
  <w:style w:type="paragraph" w:styleId="15" w:customStyle="1">
    <w:name w:val="Заголовок №1"/>
    <w:basedOn w:val="Normal"/>
    <w:link w:val="12"/>
    <w:qFormat/>
    <w:rsid w:val="0013552c"/>
    <w:pPr>
      <w:widowControl w:val="false"/>
      <w:shd w:val="clear" w:color="auto" w:fill="FFFFFF"/>
      <w:spacing w:lineRule="exact" w:line="317" w:before="0" w:after="600"/>
      <w:jc w:val="center"/>
      <w:outlineLvl w:val="0"/>
    </w:pPr>
    <w:rPr>
      <w:b/>
      <w:bCs/>
      <w:sz w:val="28"/>
      <w:szCs w:val="28"/>
    </w:rPr>
  </w:style>
  <w:style w:type="paragraph" w:styleId="Style35">
    <w:name w:val="Содержимое врезки"/>
    <w:basedOn w:val="Normal"/>
    <w:qFormat/>
    <w:pPr/>
    <w:rPr/>
  </w:style>
  <w:style w:type="paragraph" w:styleId="Style36">
    <w:name w:val="Содержимое таблицы"/>
    <w:basedOn w:val="Normal"/>
    <w:qFormat/>
    <w:pPr>
      <w:widowControl w:val="false"/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paragraph" w:styleId="Style38">
    <w:name w:val="Абзац списка"/>
    <w:basedOn w:val="Normal"/>
    <w:qFormat/>
    <w:pPr>
      <w:spacing w:lineRule="auto" w:line="276" w:before="0" w:after="200"/>
      <w:ind w:left="720" w:right="0" w:hanging="0"/>
      <w:contextualSpacing/>
      <w:jc w:val="left"/>
    </w:pPr>
    <w:rPr>
      <w:rFonts w:ascii="Calibri" w:hAnsi="Calibri" w:cs="Calibri"/>
      <w:sz w:val="22"/>
      <w:szCs w:val="22"/>
      <w:lang w:val="ru-RU"/>
    </w:rPr>
  </w:style>
  <w:style w:type="paragraph" w:styleId="Style39">
    <w:name w:val="Обычный (веб)"/>
    <w:basedOn w:val="Normal"/>
    <w:qFormat/>
    <w:pPr>
      <w:spacing w:before="280" w:after="280"/>
    </w:pPr>
    <w:rPr>
      <w:rFonts w:ascii="Arial CYR" w:hAnsi="Arial CYR" w:cs="Arial CYR"/>
      <w:sz w:val="20"/>
      <w:szCs w:val="20"/>
    </w:rPr>
  </w:style>
  <w:style w:type="paragraph" w:styleId="Docdata">
    <w:name w:val="docdata"/>
    <w:basedOn w:val="Normal"/>
    <w:qFormat/>
    <w:pPr>
      <w:spacing w:before="280" w:after="280"/>
      <w:jc w:val="left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rsid w:val="002f71b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">
    <w:name w:val="Сетка таблицы1"/>
    <w:basedOn w:val="a1"/>
    <w:rsid w:val="00b256a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632E220E25FDBE211DF0DDECE1C7557797A0F0034574E63D05BA8A95B398C32B0D03326B9CB07BD95E97CBA08DJ9S9L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BCE0C-6418-4B87-940A-D41028E17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3096</TotalTime>
  <Application>LibreOffice/7.4.3.2$Windows_X86_64 LibreOffice_project/1048a8393ae2eeec98dff31b5c133c5f1d08b890</Application>
  <AppVersion>15.0000</AppVersion>
  <Pages>26</Pages>
  <Words>8407</Words>
  <Characters>60719</Characters>
  <CharactersWithSpaces>68356</CharactersWithSpaces>
  <Paragraphs>1091</Paragraphs>
  <Company>Управление образованием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2025-04-25T09:36:00Z</dcterms:created>
  <dc:creator>Богданова</dc:creator>
  <dc:description/>
  <dc:language>ru-RU</dc:language>
  <cp:lastModifiedBy/>
  <cp:lastPrinted>2024-04-25T06:26:00Z</cp:lastPrinted>
  <dcterms:modified xsi:type="dcterms:W3CDTF">2026-05-08T13:20:19Z</dcterms:modified>
  <cp:revision>20</cp:revision>
  <dc:subject/>
  <dc:title>ДОКЛАД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