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CF7" w:rsidRPr="00B267FD" w:rsidRDefault="00367D0B">
      <w:pPr>
        <w:pStyle w:val="ConsPlusTitle"/>
        <w:jc w:val="center"/>
        <w:rPr>
          <w:sz w:val="20"/>
        </w:rPr>
      </w:pPr>
      <w:r w:rsidRPr="00B267FD">
        <w:rPr>
          <w:rFonts w:ascii="Liberation Serif" w:hAnsi="Liberation Serif" w:cs="Liberation Serif"/>
          <w:sz w:val="26"/>
          <w:szCs w:val="28"/>
        </w:rPr>
        <w:t>УВЕДОМЛЕНИЕ</w:t>
      </w:r>
    </w:p>
    <w:p w:rsidR="00CD6CF7" w:rsidRPr="00B267FD" w:rsidRDefault="00367D0B">
      <w:pPr>
        <w:pStyle w:val="ConsPlusTitle"/>
        <w:jc w:val="center"/>
        <w:rPr>
          <w:sz w:val="20"/>
        </w:rPr>
      </w:pPr>
      <w:r w:rsidRPr="00B267FD">
        <w:rPr>
          <w:rFonts w:ascii="Liberation Serif" w:hAnsi="Liberation Serif" w:cs="Liberation Serif"/>
          <w:sz w:val="26"/>
          <w:szCs w:val="28"/>
        </w:rPr>
        <w:t>о проведении публичных консультаций для проектов нормативных правовых актов средней степени регулирующего воздействия</w:t>
      </w:r>
      <w:r w:rsidRPr="00B267FD">
        <w:rPr>
          <w:rFonts w:ascii="Liberation Serif" w:hAnsi="Liberation Serif" w:cs="Liberation Serif"/>
          <w:b w:val="0"/>
          <w:sz w:val="26"/>
          <w:szCs w:val="28"/>
          <w:shd w:val="clear" w:color="auto" w:fill="00FF00"/>
        </w:rPr>
        <w:t xml:space="preserve"> </w:t>
      </w:r>
    </w:p>
    <w:p w:rsidR="00CD6CF7" w:rsidRPr="00B267FD" w:rsidRDefault="00CD6CF7">
      <w:pPr>
        <w:pStyle w:val="ConsPlusTitle"/>
        <w:jc w:val="center"/>
        <w:rPr>
          <w:rFonts w:ascii="Liberation Serif" w:hAnsi="Liberation Serif" w:cs="Liberation Serif"/>
          <w:b w:val="0"/>
          <w:dstrike/>
          <w:sz w:val="26"/>
          <w:szCs w:val="28"/>
        </w:rPr>
      </w:pPr>
    </w:p>
    <w:tbl>
      <w:tblPr>
        <w:tblW w:w="10067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"/>
        <w:gridCol w:w="1360"/>
        <w:gridCol w:w="568"/>
        <w:gridCol w:w="567"/>
        <w:gridCol w:w="709"/>
        <w:gridCol w:w="427"/>
        <w:gridCol w:w="144"/>
        <w:gridCol w:w="774"/>
        <w:gridCol w:w="74"/>
        <w:gridCol w:w="569"/>
        <w:gridCol w:w="734"/>
        <w:gridCol w:w="1316"/>
        <w:gridCol w:w="76"/>
        <w:gridCol w:w="66"/>
        <w:gridCol w:w="2060"/>
      </w:tblGrid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Вид, наименование и планируемый срок вступления в силу нормативного правового акта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Вид, наименование проекта акта: </w:t>
            </w:r>
          </w:p>
          <w:p w:rsidR="00B267FD" w:rsidRPr="00B267FD" w:rsidRDefault="00B267FD" w:rsidP="00B267FD">
            <w:pPr>
              <w:pStyle w:val="1"/>
              <w:spacing w:after="0" w:line="240" w:lineRule="auto"/>
              <w:jc w:val="both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Проект Решения Думы Малышевского городского округа VI </w:t>
            </w:r>
            <w:r w:rsidR="00CC345E"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>«</w:t>
            </w:r>
            <w:r w:rsidRPr="0027194D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О муниципальном контроле на автомобильном транспорте,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>городском наземном электрическом транспорте и в дорожном хозя</w:t>
            </w:r>
            <w:bookmarkStart w:id="0" w:name="_GoBack"/>
            <w:bookmarkEnd w:id="0"/>
            <w:r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йстве </w:t>
            </w:r>
            <w:r w:rsidRPr="0027194D">
              <w:rPr>
                <w:rFonts w:ascii="Liberation Serif" w:hAnsi="Liberation Serif" w:cs="Liberation Serif"/>
                <w:i/>
                <w:sz w:val="26"/>
                <w:szCs w:val="26"/>
              </w:rPr>
              <w:t>на территории Малышевского городского округа»</w:t>
            </w:r>
          </w:p>
          <w:p w:rsidR="00CC345E" w:rsidRPr="00B267FD" w:rsidRDefault="00CC345E" w:rsidP="00CC345E">
            <w:pPr>
              <w:pStyle w:val="ConsPlusNormal"/>
              <w:jc w:val="both"/>
              <w:rPr>
                <w:rFonts w:ascii="Liberation Serif" w:hAnsi="Liberation Serif" w:cs="Liberation Serif"/>
                <w:bCs/>
                <w:i/>
                <w:sz w:val="26"/>
                <w:szCs w:val="28"/>
              </w:rPr>
            </w:pPr>
          </w:p>
          <w:p w:rsidR="00CD6CF7" w:rsidRPr="00B267FD" w:rsidRDefault="00367D0B" w:rsidP="00CC345E">
            <w:pPr>
              <w:pStyle w:val="ConsPlusNormal"/>
              <w:jc w:val="both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Планируемый срок вступления в силу: с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1 января 2022 года 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" w:name="P55"/>
            <w:bookmarkEnd w:id="1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2.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Сведения о разработчике проекта акта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67FD" w:rsidRPr="00B267FD" w:rsidRDefault="00367D0B" w:rsidP="00B267FD">
            <w:pPr>
              <w:pStyle w:val="ConsPlusNormal"/>
              <w:jc w:val="both"/>
              <w:rPr>
                <w:sz w:val="26"/>
                <w:szCs w:val="26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Орган местного самоуправления муниципального образования, разработавший проект акта (далее – разработчик):</w:t>
            </w:r>
            <w:r w:rsidR="00CC345E"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 </w:t>
            </w:r>
            <w:r w:rsidR="00B267FD"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>Отдел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  <w:p w:rsidR="00B267FD" w:rsidRPr="00B267FD" w:rsidRDefault="00B267FD" w:rsidP="00B267FD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B267FD" w:rsidRPr="00B267FD" w:rsidRDefault="00B267FD" w:rsidP="00B267FD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6"/>
              </w:rPr>
              <w:t>Ф.И.О. должность, исполнителя проекта муниципального нормативного правового акта:</w:t>
            </w:r>
          </w:p>
          <w:p w:rsidR="00B267FD" w:rsidRPr="00B267FD" w:rsidRDefault="00B267FD" w:rsidP="00B267FD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>Измоденова Елена Александровна, Ведущий специалист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  <w:p w:rsidR="00B267FD" w:rsidRPr="00B267FD" w:rsidRDefault="00B267FD" w:rsidP="00B267FD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>Тел.: 8(34365) 5-27-36</w:t>
            </w:r>
          </w:p>
          <w:p w:rsidR="00CD6CF7" w:rsidRPr="00B267FD" w:rsidRDefault="00B267FD" w:rsidP="00B267FD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Адрес электронной почты: </w:t>
            </w:r>
            <w:hyperlink r:id="rId6" w:history="1">
              <w:r w:rsidRPr="00B267FD">
                <w:rPr>
                  <w:rStyle w:val="a3"/>
                  <w:rFonts w:ascii="Liberation Serif" w:hAnsi="Liberation Serif" w:cs="Liberation Serif"/>
                  <w:i/>
                  <w:sz w:val="26"/>
                  <w:szCs w:val="26"/>
                </w:rPr>
                <w:t>otdel-gkx2016@yandex.r</w:t>
              </w:r>
              <w:r w:rsidRPr="00B267FD">
                <w:rPr>
                  <w:rStyle w:val="a3"/>
                  <w:rFonts w:ascii="Liberation Serif" w:hAnsi="Liberation Serif" w:cs="Liberation Serif"/>
                  <w:i/>
                  <w:sz w:val="26"/>
                  <w:szCs w:val="26"/>
                  <w:lang w:val="en-US"/>
                </w:rPr>
                <w:t>u</w:t>
              </w:r>
            </w:hyperlink>
            <w:r w:rsidRPr="00B267FD">
              <w:rPr>
                <w:rFonts w:ascii="Liberation Serif" w:hAnsi="Liberation Serif" w:cs="Liberation Serif"/>
                <w:i/>
                <w:sz w:val="24"/>
                <w:szCs w:val="28"/>
              </w:rPr>
              <w:t xml:space="preserve"> </w:t>
            </w:r>
            <w:r w:rsidRPr="00B267FD">
              <w:rPr>
                <w:sz w:val="16"/>
              </w:rPr>
              <w:t xml:space="preserve"> </w:t>
            </w:r>
            <w:r w:rsidRPr="00B267FD">
              <w:rPr>
                <w:rFonts w:ascii="Liberation Serif" w:hAnsi="Liberation Serif" w:cs="Liberation Serif"/>
                <w:i/>
                <w:sz w:val="24"/>
                <w:szCs w:val="28"/>
              </w:rPr>
              <w:t xml:space="preserve">  </w:t>
            </w:r>
            <w:r w:rsidRPr="00B267FD">
              <w:rPr>
                <w:sz w:val="16"/>
              </w:rPr>
              <w:t xml:space="preserve"> 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both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2" w:name="P66"/>
            <w:bookmarkStart w:id="3" w:name="P69"/>
            <w:bookmarkEnd w:id="2"/>
            <w:bookmarkEnd w:id="3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3.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345E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Способ направления участниками публичных консультаций своих предложений: </w:t>
            </w:r>
          </w:p>
          <w:p w:rsidR="00CD6CF7" w:rsidRPr="00B267FD" w:rsidRDefault="00B267FD" w:rsidP="00CC345E">
            <w:pPr>
              <w:pStyle w:val="ConsPlusNormal"/>
              <w:rPr>
                <w:sz w:val="18"/>
              </w:rPr>
            </w:pPr>
            <w:r w:rsidRPr="00F04B83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С использованием программных средств интернет - портала «Оценка регулирующего воздействия в Свердловской области» </w:t>
            </w:r>
            <w:hyperlink r:id="rId7" w:history="1">
              <w:r w:rsidRPr="00F04B83">
                <w:rPr>
                  <w:rStyle w:val="a3"/>
                  <w:rFonts w:ascii="Liberation Serif" w:hAnsi="Liberation Serif" w:cs="Liberation Serif"/>
                  <w:i/>
                  <w:sz w:val="26"/>
                  <w:szCs w:val="28"/>
                </w:rPr>
                <w:t>http://regulation.midural.ru/</w:t>
              </w:r>
            </w:hyperlink>
            <w:r w:rsidRPr="00F04B83">
              <w:rPr>
                <w:rFonts w:ascii="Liberation Serif" w:hAnsi="Liberation Serif" w:cs="Liberation Serif"/>
                <w:i/>
                <w:color w:val="002060"/>
                <w:sz w:val="26"/>
                <w:szCs w:val="28"/>
              </w:rPr>
              <w:t xml:space="preserve">    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4" w:name="P77"/>
            <w:bookmarkEnd w:id="4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4.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Степень регулирующего воздействия проекта акта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both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4.1. Степень регулирующего воздействия проекта акта: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средняя</w:t>
            </w:r>
          </w:p>
          <w:p w:rsidR="00CD6CF7" w:rsidRPr="00B267FD" w:rsidRDefault="00CD6CF7">
            <w:pPr>
              <w:pStyle w:val="ConsPlusNormal"/>
              <w:jc w:val="both"/>
              <w:rPr>
                <w:rFonts w:ascii="Liberation Serif" w:hAnsi="Liberation Serif" w:cs="Liberation Serif"/>
                <w:sz w:val="26"/>
                <w:szCs w:val="28"/>
              </w:rPr>
            </w:pPr>
          </w:p>
          <w:p w:rsidR="00CD6CF7" w:rsidRPr="00B267FD" w:rsidRDefault="00367D0B">
            <w:pPr>
              <w:pStyle w:val="ConsPlusNormal"/>
              <w:jc w:val="both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4.2. Обоснование отнесения проекта акта к определенной степени регулирующего воздействия: </w:t>
            </w:r>
          </w:p>
          <w:p w:rsidR="00CD6CF7" w:rsidRPr="00B267FD" w:rsidRDefault="00367D0B">
            <w:pPr>
              <w:jc w:val="both"/>
              <w:rPr>
                <w:sz w:val="24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проект акта содержит положения, изменяющий ранее предусмотренные нормативными правовыми актами </w:t>
            </w:r>
            <w:r w:rsidRPr="00B267FD">
              <w:rPr>
                <w:rFonts w:ascii="Liberation Serif" w:hAnsi="Liberation Serif" w:cs="Calibri"/>
                <w:color w:val="000000"/>
                <w:sz w:val="26"/>
                <w:szCs w:val="28"/>
              </w:rPr>
              <w:t xml:space="preserve">о муниципальный </w:t>
            </w:r>
            <w:r w:rsidRPr="00B267FD">
              <w:rPr>
                <w:rFonts w:ascii="Liberation Serif" w:hAnsi="Liberation Serif"/>
                <w:color w:val="000000"/>
                <w:sz w:val="26"/>
                <w:szCs w:val="28"/>
              </w:rPr>
              <w:t>контроль на автомобильном транспорте,</w:t>
            </w:r>
            <w:r w:rsidR="00B267FD">
              <w:rPr>
                <w:rFonts w:ascii="Liberation Serif" w:hAnsi="Liberation Serif"/>
                <w:color w:val="000000"/>
                <w:sz w:val="26"/>
                <w:szCs w:val="28"/>
              </w:rPr>
              <w:t xml:space="preserve"> </w:t>
            </w:r>
            <w:r w:rsidRPr="00B267FD">
              <w:rPr>
                <w:rFonts w:ascii="Liberation Serif" w:hAnsi="Liberation Serif"/>
                <w:color w:val="000000"/>
                <w:sz w:val="26"/>
                <w:szCs w:val="28"/>
              </w:rPr>
              <w:t>городском наземном электрическом транспорте и в дорожном хозяйстве</w:t>
            </w:r>
          </w:p>
          <w:p w:rsidR="00CD6CF7" w:rsidRPr="00B267FD" w:rsidRDefault="00367D0B">
            <w:pPr>
              <w:widowControl w:val="0"/>
              <w:jc w:val="both"/>
              <w:rPr>
                <w:rFonts w:ascii="Liberation Serif" w:hAnsi="Liberation Serif"/>
                <w:color w:val="000000"/>
                <w:sz w:val="26"/>
                <w:szCs w:val="28"/>
              </w:rPr>
            </w:pPr>
            <w:r w:rsidRPr="00B267FD">
              <w:rPr>
                <w:rFonts w:ascii="Liberation Serif" w:hAnsi="Liberation Serif"/>
                <w:color w:val="000000"/>
                <w:sz w:val="26"/>
                <w:szCs w:val="28"/>
              </w:rPr>
              <w:t xml:space="preserve">на территории муниципального образования </w:t>
            </w:r>
            <w:r w:rsidR="00B267FD">
              <w:rPr>
                <w:rFonts w:ascii="Liberation Serif" w:hAnsi="Liberation Serif"/>
                <w:color w:val="000000"/>
                <w:sz w:val="26"/>
                <w:szCs w:val="28"/>
              </w:rPr>
              <w:t xml:space="preserve">Малышевского </w:t>
            </w:r>
            <w:r w:rsidRPr="00B267FD">
              <w:rPr>
                <w:rFonts w:ascii="Liberation Serif" w:hAnsi="Liberation Serif"/>
                <w:color w:val="000000"/>
                <w:sz w:val="26"/>
                <w:szCs w:val="28"/>
              </w:rPr>
              <w:t xml:space="preserve">городской округ </w:t>
            </w:r>
          </w:p>
          <w:p w:rsidR="00CD6CF7" w:rsidRPr="00B267FD" w:rsidRDefault="00CD6CF7">
            <w:pPr>
              <w:pStyle w:val="ConsPlusNormal"/>
              <w:jc w:val="both"/>
              <w:rPr>
                <w:sz w:val="18"/>
              </w:rPr>
            </w:pPr>
          </w:p>
          <w:p w:rsidR="00CD6CF7" w:rsidRPr="00B267FD" w:rsidRDefault="00367D0B">
            <w:pPr>
              <w:pStyle w:val="ConsPlusNormal"/>
              <w:jc w:val="both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4.3. Срок проведения публичных консультаций: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15 рабочих дней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5" w:name="P83"/>
            <w:bookmarkEnd w:id="5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5.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</w:t>
            </w: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br/>
              <w:t>с наличием рассматриваемой проблемы</w:t>
            </w:r>
          </w:p>
        </w:tc>
      </w:tr>
      <w:tr w:rsidR="00CD6CF7" w:rsidRPr="00B267FD">
        <w:trPr>
          <w:trHeight w:val="1237"/>
        </w:trPr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both"/>
              <w:rPr>
                <w:sz w:val="18"/>
              </w:rPr>
            </w:pPr>
            <w:bookmarkStart w:id="6" w:name="P85"/>
            <w:bookmarkEnd w:id="6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 xml:space="preserve">5.1. Описание проблемы, на решение которой направлен предлагаемый способ регулирования, условий и </w:t>
            </w:r>
            <w:r w:rsidRPr="00B267FD"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  <w:t xml:space="preserve">факторов ее существования: </w:t>
            </w:r>
          </w:p>
          <w:p w:rsidR="00CD6CF7" w:rsidRPr="00B267FD" w:rsidRDefault="00367D0B">
            <w:pPr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Невозможность осуществлять муниципальный контроль на автомобильном транспорте, городском наземном электрическом транспорте и в дорожном хозяйстве на территории </w:t>
            </w:r>
            <w:r w:rsid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Малышевского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городско</w:t>
            </w:r>
            <w:r w:rsidR="00C2339B"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го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округ</w:t>
            </w:r>
            <w:r w:rsidR="00C2339B"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а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в соответствии с требованиями федерального законодательства, установленных Федеральным законом от 31 июля 2020 года № 248-ФЗ «О государственном контроле (надзоре) и муниципальном контроле в Российской Федерации»</w:t>
            </w:r>
            <w:bookmarkStart w:id="7" w:name="P88"/>
            <w:bookmarkEnd w:id="7"/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ввиду отсутствия нормативно-правовой базы, регламентирующей полномочия по проведению контрольно-надзорных мероприятий, видов контрольно-надзорных мероприятий, профилактических мероприятий, индикаторов риска, показателей эффективности, положений по урегулированию взаимодействия контрольно-надзорного органа и контролируемых лиц в сфере указанного контроля. </w:t>
            </w:r>
          </w:p>
          <w:p w:rsidR="00CD6CF7" w:rsidRPr="00B267FD" w:rsidRDefault="00CD6CF7">
            <w:pPr>
              <w:overflowPunct/>
              <w:autoSpaceDE/>
              <w:jc w:val="both"/>
              <w:textAlignment w:val="auto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</w:p>
          <w:p w:rsidR="00CD6CF7" w:rsidRPr="00B267FD" w:rsidRDefault="00367D0B">
            <w:pPr>
              <w:pStyle w:val="ConsPlusNormal"/>
              <w:jc w:val="both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5.2. Негативные эффекты, возникающие в связи с наличием проблемы:</w:t>
            </w:r>
            <w:bookmarkStart w:id="8" w:name="P91"/>
            <w:bookmarkStart w:id="9" w:name="P94"/>
            <w:bookmarkEnd w:id="8"/>
            <w:bookmarkEnd w:id="9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 </w:t>
            </w:r>
          </w:p>
          <w:p w:rsidR="00CD6CF7" w:rsidRPr="00B267FD" w:rsidRDefault="00367D0B">
            <w:pPr>
              <w:pStyle w:val="ConsPlusNormal"/>
              <w:jc w:val="both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Угроза жизни и здоровью граждан, окружающей среде, а также причинение вреда (ущерба) охраняемым законом ценностям</w:t>
            </w:r>
            <w:r w:rsidRPr="00B267FD">
              <w:rPr>
                <w:sz w:val="18"/>
              </w:rPr>
              <w:t xml:space="preserve">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в результате нарушений обязательных требований, в соответствующей сфере деятельности</w:t>
            </w:r>
          </w:p>
          <w:p w:rsidR="00CD6CF7" w:rsidRPr="00B267FD" w:rsidRDefault="00CD6CF7">
            <w:pPr>
              <w:pStyle w:val="ConsPlusNormal"/>
              <w:jc w:val="both"/>
              <w:rPr>
                <w:rFonts w:ascii="Liberation Serif" w:hAnsi="Liberation Serif" w:cs="Liberation Serif"/>
                <w:sz w:val="26"/>
                <w:szCs w:val="28"/>
              </w:rPr>
            </w:pPr>
          </w:p>
          <w:p w:rsidR="00CD6CF7" w:rsidRPr="00B267FD" w:rsidRDefault="00367D0B">
            <w:pPr>
              <w:pStyle w:val="ConsPlusNormal"/>
              <w:jc w:val="both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5.3. Источники данных: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ведомственная статистика,</w:t>
            </w:r>
            <w:r w:rsidRPr="00B267FD">
              <w:rPr>
                <w:sz w:val="18"/>
              </w:rPr>
              <w:t xml:space="preserve">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ИС «Консультант плюс»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0" w:name="P103"/>
            <w:bookmarkEnd w:id="10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6.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Анализ федерального, регионального опыта в соответствующих сферах деятельности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6.1. Федеральный, региональный опыт в соответствующих сферах: </w:t>
            </w:r>
          </w:p>
          <w:p w:rsidR="00CD6CF7" w:rsidRPr="00B267FD" w:rsidRDefault="00367D0B">
            <w:pPr>
              <w:pStyle w:val="ConsPlusNormal"/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______________________________________________________</w:t>
            </w:r>
          </w:p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6.2. Источники данных: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ИС «Консультант плюс»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both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1" w:name="P111"/>
            <w:bookmarkEnd w:id="11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7.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Цели предлагаемого регулирования и их соответствие принципам правового регулирования, программным документам Президента Российской Федерации, Правительства Российской Федерации, Губернатора Свердловской области, Правительства Свердловской области</w:t>
            </w:r>
          </w:p>
        </w:tc>
      </w:tr>
      <w:tr w:rsidR="00CD6CF7" w:rsidRPr="00B267FD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2" w:name="P113"/>
            <w:bookmarkEnd w:id="12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7.1. Цели предлагаемого регулирования:</w:t>
            </w:r>
          </w:p>
        </w:tc>
        <w:tc>
          <w:tcPr>
            <w:tcW w:w="26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3" w:name="P114"/>
            <w:bookmarkEnd w:id="13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7.2. Установленные сроки достижения целей предлагаемого регулирования:</w:t>
            </w:r>
          </w:p>
        </w:tc>
        <w:tc>
          <w:tcPr>
            <w:tcW w:w="42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7.3. Положения проекта, направленные на достижение целей регулирования</w:t>
            </w:r>
          </w:p>
        </w:tc>
      </w:tr>
      <w:tr w:rsidR="00CD6CF7" w:rsidRPr="00B267FD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Недопущение причинения вреда (ущерба) охраняемым законом ценностям, вызванного нарушениями обязательных требований</w:t>
            </w:r>
          </w:p>
        </w:tc>
        <w:tc>
          <w:tcPr>
            <w:tcW w:w="26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С 1 января 2022 года (с момента вступления в силу нормативного правового акта) </w:t>
            </w:r>
          </w:p>
        </w:tc>
        <w:tc>
          <w:tcPr>
            <w:tcW w:w="42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Положения, регулирующие применение риск-ориентированного подхода, проведение профилактических мероприятий при осуществлении контрольно-надзорной деятельности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both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4" w:name="P119"/>
            <w:bookmarkStart w:id="15" w:name="P125"/>
            <w:bookmarkEnd w:id="14"/>
            <w:bookmarkEnd w:id="15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8.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Описание предлагаемого регулирования и иных возможных способов решения проблемы</w:t>
            </w:r>
          </w:p>
        </w:tc>
      </w:tr>
      <w:tr w:rsidR="00CD6CF7" w:rsidRPr="00B267FD" w:rsidTr="00111BF5">
        <w:trPr>
          <w:trHeight w:val="244"/>
        </w:trPr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 w:rsidP="00111BF5">
            <w:pPr>
              <w:pStyle w:val="ConsPlusNormal"/>
              <w:jc w:val="both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6" w:name="P127"/>
            <w:bookmarkEnd w:id="16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8.1. Описание предлагаемого способа решения проблемы и преодоления связанных с ней негативных эффектов: </w:t>
            </w:r>
          </w:p>
          <w:p w:rsidR="00CD6CF7" w:rsidRPr="00B267FD" w:rsidRDefault="00367D0B" w:rsidP="00111BF5">
            <w:pPr>
              <w:jc w:val="both"/>
              <w:rPr>
                <w:sz w:val="24"/>
              </w:rPr>
            </w:pPr>
            <w:r w:rsidRPr="00B267FD">
              <w:rPr>
                <w:rFonts w:ascii="Liberation Serif" w:hAnsi="Liberation Serif" w:cs="Liberation Serif"/>
                <w:bCs/>
                <w:i/>
                <w:iCs/>
                <w:sz w:val="26"/>
                <w:szCs w:val="28"/>
              </w:rPr>
              <w:lastRenderedPageBreak/>
              <w:t xml:space="preserve">Разработка и принятие проекта </w:t>
            </w:r>
            <w:r w:rsidR="00B267FD"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>Решения Думы Малышевского городского округа VI «</w:t>
            </w:r>
            <w:r w:rsidR="00B267FD" w:rsidRPr="00B267FD">
              <w:rPr>
                <w:rFonts w:cs="Liberation Serif"/>
                <w:i/>
                <w:sz w:val="26"/>
                <w:szCs w:val="26"/>
              </w:rPr>
              <w:t xml:space="preserve">О </w:t>
            </w:r>
            <w:r w:rsidR="00B267FD" w:rsidRPr="00B267FD">
              <w:rPr>
                <w:rFonts w:eastAsia="Calibri" w:cs="Liberation Serif"/>
                <w:i/>
                <w:sz w:val="26"/>
                <w:szCs w:val="26"/>
                <w:lang w:eastAsia="en-US"/>
              </w:rPr>
              <w:t xml:space="preserve">муниципальном </w:t>
            </w:r>
            <w:r w:rsidR="00B267FD" w:rsidRPr="00B267FD">
              <w:rPr>
                <w:rFonts w:cs="Liberation Serif"/>
                <w:i/>
                <w:sz w:val="26"/>
                <w:szCs w:val="26"/>
              </w:rPr>
              <w:t xml:space="preserve">контроле на автомобильном транспорте, </w:t>
            </w:r>
            <w:r w:rsidR="00B267FD" w:rsidRPr="00B267FD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городском наземном электрическом транспорте и в дорожном хозяйстве </w:t>
            </w:r>
            <w:r w:rsidR="00B267FD" w:rsidRPr="00B267FD">
              <w:rPr>
                <w:rFonts w:cs="Liberation Serif"/>
                <w:i/>
                <w:sz w:val="26"/>
                <w:szCs w:val="26"/>
              </w:rPr>
              <w:t>на территории Малышевского городского округа»</w:t>
            </w:r>
            <w:r w:rsidRPr="00B267FD">
              <w:rPr>
                <w:rFonts w:ascii="Liberation Serif" w:hAnsi="Liberation Serif" w:cs="Liberation Serif"/>
                <w:bCs/>
                <w:i/>
                <w:iCs/>
                <w:sz w:val="26"/>
                <w:szCs w:val="28"/>
              </w:rPr>
              <w:t xml:space="preserve"> в соответствии с требованиями, установленными Федеральным законом от 31 июля 2020 года № 248-ФЗ позволит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повысить эффективность контрольно-надзорной деятельности, дифференцировать контрольные (надзорные) мероприятия, сосредоточив усилия органов контроля на субъектах (объектах) контроля, несущих потенциально наибольшую опасность для охраняемых законом ценностей. </w:t>
            </w:r>
          </w:p>
          <w:p w:rsidR="00CD6CF7" w:rsidRPr="00B267FD" w:rsidRDefault="00CD6CF7" w:rsidP="00111BF5">
            <w:pPr>
              <w:pStyle w:val="ConsPlusNormal"/>
              <w:jc w:val="both"/>
              <w:rPr>
                <w:rFonts w:ascii="Liberation Serif" w:hAnsi="Liberation Serif" w:cs="Liberation Serif"/>
                <w:sz w:val="26"/>
                <w:szCs w:val="28"/>
              </w:rPr>
            </w:pPr>
          </w:p>
          <w:p w:rsidR="00111BF5" w:rsidRPr="00B267FD" w:rsidRDefault="00367D0B" w:rsidP="00111BF5">
            <w:pPr>
              <w:spacing w:after="120"/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8.2. Описание иных способов решения проблемы, в том числе без вмешательства со стороны государства (с указанием того, каким образом каждым из способов могла бы быть решена проблема):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</w:t>
            </w:r>
          </w:p>
          <w:p w:rsidR="00CD6CF7" w:rsidRPr="00B267FD" w:rsidRDefault="00367D0B" w:rsidP="00111BF5">
            <w:pPr>
              <w:spacing w:after="120"/>
              <w:jc w:val="both"/>
              <w:rPr>
                <w:sz w:val="24"/>
              </w:rPr>
            </w:pPr>
            <w:r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 xml:space="preserve">в случае непринятия положения об осуществлении соответствующего вида муниципального контроля, регламентирующего полномочия по проведению контрольно-надзорных мероприятий,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сохраняются негативные последствия, влекущие причинение вреда (ущерба) охраняемым законом ценностям, с последующими сложностями преодоления таких последствий</w:t>
            </w:r>
          </w:p>
          <w:tbl>
            <w:tblPr>
              <w:tblW w:w="971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263"/>
              <w:gridCol w:w="2908"/>
              <w:gridCol w:w="3544"/>
            </w:tblGrid>
            <w:tr w:rsidR="00CD6CF7" w:rsidRPr="00B267FD">
              <w:tc>
                <w:tcPr>
                  <w:tcW w:w="3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D6CF7" w:rsidRPr="00B267FD" w:rsidRDefault="00367D0B">
                  <w:pPr>
                    <w:pStyle w:val="ConsPlusNormal"/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</w:pPr>
                  <w:r w:rsidRPr="00B267FD"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  <w:t>Способ решения проблемы</w:t>
                  </w:r>
                </w:p>
              </w:tc>
              <w:tc>
                <w:tcPr>
                  <w:tcW w:w="29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D6CF7" w:rsidRPr="00B267FD" w:rsidRDefault="00367D0B">
                  <w:pPr>
                    <w:pStyle w:val="ConsPlusNormal"/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</w:pPr>
                  <w:r w:rsidRPr="00B267FD"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  <w:t>Выгоды/Преимущества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D6CF7" w:rsidRPr="00B267FD" w:rsidRDefault="00367D0B">
                  <w:pPr>
                    <w:pStyle w:val="ConsPlusNormal"/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</w:pPr>
                  <w:r w:rsidRPr="00B267FD"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  <w:t>Издержки/Недостатки</w:t>
                  </w:r>
                </w:p>
              </w:tc>
            </w:tr>
            <w:tr w:rsidR="00CD6CF7" w:rsidRPr="00B267FD">
              <w:tc>
                <w:tcPr>
                  <w:tcW w:w="3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D6CF7" w:rsidRPr="00B267FD" w:rsidRDefault="00367D0B">
                  <w:pPr>
                    <w:pStyle w:val="ConsPlusNormal"/>
                    <w:jc w:val="center"/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</w:pPr>
                  <w:r w:rsidRPr="00B267FD"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  <w:t>-</w:t>
                  </w:r>
                </w:p>
              </w:tc>
              <w:tc>
                <w:tcPr>
                  <w:tcW w:w="29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D6CF7" w:rsidRPr="00B267FD" w:rsidRDefault="00367D0B">
                  <w:pPr>
                    <w:pStyle w:val="ConsPlusNormal"/>
                    <w:jc w:val="center"/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</w:pPr>
                  <w:r w:rsidRPr="00B267FD"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  <w:t>-</w:t>
                  </w:r>
                </w:p>
              </w:tc>
              <w:tc>
                <w:tcPr>
                  <w:tcW w:w="3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D6CF7" w:rsidRPr="00B267FD" w:rsidRDefault="00367D0B">
                  <w:pPr>
                    <w:pStyle w:val="ConsPlusNormal"/>
                    <w:jc w:val="center"/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</w:pPr>
                  <w:r w:rsidRPr="00B267FD">
                    <w:rPr>
                      <w:rFonts w:ascii="Liberation Serif" w:hAnsi="Liberation Serif" w:cs="Liberation Serif"/>
                      <w:i/>
                      <w:sz w:val="26"/>
                      <w:szCs w:val="28"/>
                    </w:rPr>
                    <w:t>-</w:t>
                  </w:r>
                </w:p>
              </w:tc>
            </w:tr>
          </w:tbl>
          <w:p w:rsidR="00CD6CF7" w:rsidRPr="00B267FD" w:rsidRDefault="00CD6CF7">
            <w:pPr>
              <w:pStyle w:val="ConsPlusNormal"/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7" w:name="P136"/>
            <w:bookmarkEnd w:id="17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>9.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Основные группы лиц, чьи интересы будут затронуты предлагаемым правовым регулированием</w:t>
            </w:r>
          </w:p>
        </w:tc>
      </w:tr>
      <w:tr w:rsidR="00CD6CF7" w:rsidRPr="00B267FD">
        <w:tc>
          <w:tcPr>
            <w:tcW w:w="3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8" w:name="P138"/>
            <w:bookmarkEnd w:id="18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9.1. Группа участников отношений:</w:t>
            </w:r>
          </w:p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9.1.1.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Органы муниципального контроля</w:t>
            </w:r>
          </w:p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9.1.2.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Органы прокуратуры</w:t>
            </w:r>
          </w:p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9.1.3.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Юр. лица и индивидуальные предприниматели, попадающие под вид регионального государственного контроля (надзора)</w:t>
            </w:r>
          </w:p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</w:p>
        </w:tc>
        <w:tc>
          <w:tcPr>
            <w:tcW w:w="62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9.2. Оценка количества участников отношений:</w:t>
            </w:r>
          </w:p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На стадии разработки акта:</w:t>
            </w:r>
          </w:p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9.2.1. Органы муниципального контроля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– </w:t>
            </w:r>
            <w:r w:rsidR="00B267FD">
              <w:rPr>
                <w:rFonts w:ascii="Liberation Serif" w:hAnsi="Liberation Serif" w:cs="Liberation Serif"/>
                <w:i/>
                <w:sz w:val="26"/>
                <w:szCs w:val="28"/>
              </w:rPr>
              <w:t>___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</w:t>
            </w:r>
          </w:p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9.2.2.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</w:t>
            </w: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Органы прокуратуры</w:t>
            </w:r>
            <w:r w:rsid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– ___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;</w:t>
            </w:r>
          </w:p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9.2.3. Индивидуальные предприниматели; юридические лица;</w:t>
            </w:r>
          </w:p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9.3. После введения предлагаемого регулирования:</w:t>
            </w:r>
          </w:p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не изменится (общее количество поднадзорных субъектов не изменится, однако возможно изменение количества поднадзорных субъектов в различных категориях) 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9.3. Источники данных: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ведомственные данные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10.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Новые функции, полномочия, обязанности и права исполнительных органов государственной власти Свердловской области и органов местного самоуправления муниципальных образований Свердловской области, или сведения об их изменении, а также оценка соответствующих расходов (возможных поступлений) бюджетов бюджетной системы Российской Федерации</w:t>
            </w:r>
          </w:p>
        </w:tc>
      </w:tr>
      <w:tr w:rsidR="00CD6CF7" w:rsidRPr="00B267FD"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19" w:name="P153"/>
            <w:bookmarkEnd w:id="19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10.1. Наименование и описание новых или изменения существующих </w:t>
            </w: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>функций, полномочий, обязанностей или прав:</w:t>
            </w:r>
          </w:p>
        </w:tc>
        <w:tc>
          <w:tcPr>
            <w:tcW w:w="26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20" w:name="P154"/>
            <w:bookmarkEnd w:id="20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>10.2. Порядок реализации:</w:t>
            </w:r>
          </w:p>
        </w:tc>
        <w:tc>
          <w:tcPr>
            <w:tcW w:w="48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21" w:name="P155"/>
            <w:bookmarkEnd w:id="21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10.3. Описание видов расходов (возможных поступлений) и количественная оценка (в т.ч. с приведением оценки изменения </w:t>
            </w: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>трудозатрат и (или) потребностей в иных ресурсах):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 w:rsidP="00B267FD">
            <w:pPr>
              <w:pStyle w:val="ConsPlusNormal"/>
              <w:jc w:val="center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 xml:space="preserve">Наименование органа: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администрация</w:t>
            </w:r>
            <w:r w:rsid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Малышевского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городского округа </w:t>
            </w:r>
          </w:p>
        </w:tc>
      </w:tr>
      <w:tr w:rsidR="00CD6CF7" w:rsidRPr="00B267FD">
        <w:trPr>
          <w:trHeight w:val="688"/>
        </w:trPr>
        <w:tc>
          <w:tcPr>
            <w:tcW w:w="25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При осуществлении вида муниципального контроля в рамках текущего финансирования: осуществление контрольно-надзорных мероприятий, категорирование объектов муниципального контроля по критериям риска,  </w:t>
            </w:r>
          </w:p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формирование плана проверок на основе риск-ориентированного подхода;</w:t>
            </w:r>
          </w:p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разработка и утверждение программы профилактики рисков причинения вреда (ущерба)</w:t>
            </w:r>
          </w:p>
        </w:tc>
        <w:tc>
          <w:tcPr>
            <w:tcW w:w="269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В соответствии с утвержденным положением об осуществлении вида муниципального контроля</w:t>
            </w:r>
          </w:p>
        </w:tc>
        <w:tc>
          <w:tcPr>
            <w:tcW w:w="48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both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Периодические расходы за год: </w:t>
            </w:r>
            <w:r w:rsidRPr="00B267FD"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  <w:t xml:space="preserve">отсутствуют </w:t>
            </w:r>
          </w:p>
          <w:p w:rsidR="00CD6CF7" w:rsidRPr="00B267FD" w:rsidRDefault="00367D0B">
            <w:pPr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(реализация полномочий в сфере муниципального контроля на автомобильном транспорте,</w:t>
            </w:r>
          </w:p>
          <w:p w:rsidR="00CD6CF7" w:rsidRPr="00B267FD" w:rsidRDefault="00367D0B">
            <w:pPr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городском наземном электрическом транспорте и в дорожном хозяйстве</w:t>
            </w:r>
          </w:p>
          <w:p w:rsidR="00CD6CF7" w:rsidRPr="00B267FD" w:rsidRDefault="00367D0B" w:rsidP="00B267FD">
            <w:pPr>
              <w:widowControl w:val="0"/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на территории </w:t>
            </w:r>
            <w:r w:rsid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Малышевского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городско</w:t>
            </w:r>
            <w:r w:rsidR="00C2339B"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го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округ</w:t>
            </w:r>
            <w:r w:rsidR="00C2339B"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а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осуществляется в рамках исполнения существующих функций) </w:t>
            </w:r>
          </w:p>
        </w:tc>
      </w:tr>
      <w:tr w:rsidR="00CD6CF7" w:rsidRPr="00B267FD">
        <w:trPr>
          <w:trHeight w:val="535"/>
        </w:trPr>
        <w:tc>
          <w:tcPr>
            <w:tcW w:w="25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</w:p>
        </w:tc>
        <w:tc>
          <w:tcPr>
            <w:tcW w:w="269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</w:p>
        </w:tc>
        <w:tc>
          <w:tcPr>
            <w:tcW w:w="48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Возможные поступления за период: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отсутствуют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Прокуратура Свердловской области</w:t>
            </w:r>
          </w:p>
        </w:tc>
      </w:tr>
      <w:tr w:rsidR="00CD6CF7" w:rsidRPr="00B267FD">
        <w:tc>
          <w:tcPr>
            <w:tcW w:w="25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Согласование плана проверок </w:t>
            </w:r>
          </w:p>
        </w:tc>
        <w:tc>
          <w:tcPr>
            <w:tcW w:w="269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Согласование плана проверок, сформированного на основе риск-ориентированного подхода, что определяет необходимость проверки корректности отнесения субъектов (объектов) контроля к конкретной категории риска и соответствие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lastRenderedPageBreak/>
              <w:t xml:space="preserve">периодичности проверок в отношении него периодичности, установленной для данной категории </w:t>
            </w:r>
          </w:p>
        </w:tc>
        <w:tc>
          <w:tcPr>
            <w:tcW w:w="48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 xml:space="preserve">Единовременные расходы: </w:t>
            </w:r>
          </w:p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отсутствуют</w:t>
            </w:r>
          </w:p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(реализация полномочий по согласованию плана проверок осуществляется в рамках исполнения существующих функций)</w:t>
            </w:r>
          </w:p>
        </w:tc>
      </w:tr>
      <w:tr w:rsidR="00CD6CF7" w:rsidRPr="00B267FD">
        <w:tc>
          <w:tcPr>
            <w:tcW w:w="25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</w:p>
        </w:tc>
        <w:tc>
          <w:tcPr>
            <w:tcW w:w="269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</w:p>
        </w:tc>
        <w:tc>
          <w:tcPr>
            <w:tcW w:w="48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Периодические расходы за период: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отсутствуют </w:t>
            </w:r>
          </w:p>
        </w:tc>
      </w:tr>
      <w:tr w:rsidR="00CD6CF7" w:rsidRPr="00B267FD">
        <w:tc>
          <w:tcPr>
            <w:tcW w:w="25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</w:p>
        </w:tc>
        <w:tc>
          <w:tcPr>
            <w:tcW w:w="2695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</w:p>
        </w:tc>
        <w:tc>
          <w:tcPr>
            <w:tcW w:w="48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Возможные поступления за период: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отсутствуют</w:t>
            </w:r>
          </w:p>
        </w:tc>
      </w:tr>
      <w:tr w:rsidR="00CD6CF7" w:rsidRPr="00B267FD">
        <w:tc>
          <w:tcPr>
            <w:tcW w:w="65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>Итого единовременные расходы: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Отсутствуют</w:t>
            </w:r>
          </w:p>
        </w:tc>
      </w:tr>
      <w:tr w:rsidR="00CD6CF7" w:rsidRPr="00B267FD">
        <w:tc>
          <w:tcPr>
            <w:tcW w:w="65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Итого периодические расходы за год: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Отсутствуют</w:t>
            </w:r>
          </w:p>
        </w:tc>
      </w:tr>
      <w:tr w:rsidR="00CD6CF7" w:rsidRPr="00B267FD">
        <w:tc>
          <w:tcPr>
            <w:tcW w:w="65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Итого возможные поступления за год: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Отсутствуют 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both"/>
              <w:rPr>
                <w:sz w:val="18"/>
              </w:rPr>
            </w:pPr>
            <w:bookmarkStart w:id="22" w:name="P185"/>
            <w:bookmarkEnd w:id="22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10.4. Иные сведения о расходах (возможных поступлениях) бюджетов бюджетной системы Российской Федерации: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отсутствуют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10.5. Источники данных: ведомственные данные</w:t>
            </w:r>
          </w:p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</w:p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23" w:name="P191"/>
            <w:bookmarkEnd w:id="23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11.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Новые обязанности или ограничения, выгода (преимущества) субъектов предпринимательской и инвестиционной деятельности либо изменение содержания существующих обязанностей и ограничений, выгоды (преимуществ), а также порядок организации исполнения обязанностей и ограничений с учетом информации, представленной в пояснительной записке. Оценка расходов (выгод) субъектов предпринимательской и инвестиционной деятельности, связанных с необходимостью соблюдения регулирования.</w:t>
            </w:r>
          </w:p>
        </w:tc>
      </w:tr>
      <w:tr w:rsidR="00CD6CF7" w:rsidRPr="00B267FD"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24" w:name="P193"/>
            <w:bookmarkEnd w:id="24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11.1. Группа участников отношений:</w:t>
            </w:r>
          </w:p>
        </w:tc>
        <w:tc>
          <w:tcPr>
            <w:tcW w:w="399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25" w:name="P194"/>
            <w:bookmarkEnd w:id="25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11.2. Описание новых или изменения содержания существующих обязанностей и ограничений, выгоды (преимуществ), порядок организации исполнения обязанностей и ограничений: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26" w:name="P195"/>
            <w:bookmarkEnd w:id="26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11.3. Описание и оценка видов расходов, выгод (преимуществ):</w:t>
            </w:r>
          </w:p>
        </w:tc>
      </w:tr>
      <w:tr w:rsidR="00CD6CF7" w:rsidRPr="00B267FD"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Юр. Лица, индивидуальные </w:t>
            </w:r>
            <w:r w:rsidR="00111BF5"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предприниматели, попадающие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 под вид муниципального контроля</w:t>
            </w:r>
          </w:p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</w:p>
        </w:tc>
        <w:tc>
          <w:tcPr>
            <w:tcW w:w="399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Изменяется периодичность плановых проверок в соответствии с присвоенной категорией риска. Произойдет снижение административной нагрузки на предпринимателей в целом, в первую очередь на добросовестных или ведущих деятельность, не несущую угрозу жизни, здоровью и окружающей среде,</w:t>
            </w:r>
            <w:r w:rsidRPr="00B267FD">
              <w:rPr>
                <w:sz w:val="18"/>
              </w:rPr>
              <w:t xml:space="preserve">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а также причинение вреда (ущерба) охраняемым законом ценностям</w:t>
            </w:r>
            <w:r w:rsidRPr="00B267FD">
              <w:rPr>
                <w:sz w:val="18"/>
              </w:rPr>
              <w:t xml:space="preserve">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в результате нарушений обязательных требований</w:t>
            </w:r>
          </w:p>
        </w:tc>
        <w:tc>
          <w:tcPr>
            <w:tcW w:w="3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Снижение затрат (временных и финансовых), связанных с предоставлением документов и участием в контрольно-надзорных мероприятиях</w:t>
            </w:r>
          </w:p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  <w:shd w:val="clear" w:color="auto" w:fill="FFFF00"/>
              </w:rPr>
            </w:pPr>
          </w:p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  <w:shd w:val="clear" w:color="auto" w:fill="FFFF00"/>
              </w:rPr>
            </w:pPr>
          </w:p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  <w:shd w:val="clear" w:color="auto" w:fill="FFFF00"/>
              </w:rPr>
            </w:pPr>
          </w:p>
          <w:p w:rsidR="00CD6CF7" w:rsidRPr="00B267FD" w:rsidRDefault="00CD6CF7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  <w:shd w:val="clear" w:color="auto" w:fill="FFFF00"/>
              </w:rPr>
            </w:pP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27" w:name="P199"/>
            <w:bookmarkStart w:id="28" w:name="P207"/>
            <w:bookmarkEnd w:id="27"/>
            <w:bookmarkEnd w:id="28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>12.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Оценка влияния на конкурентную среду в регионе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both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12.1.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Минимизация риска причинения вреда (ущерба) охраняемым законом ценностям, вызванного нарушениями обязательных требований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overflowPunct/>
              <w:jc w:val="both"/>
              <w:textAlignment w:val="auto"/>
              <w:rPr>
                <w:sz w:val="24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12.2. Источники данных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: Федеральный закон от 31 июля 2020 года № 248-ФЗ «О государственном контроле (надзоре) и муниципальном контроле в Российской Федерации»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13.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Риски решения проблемы предложенным способом регулирования и риски негативных последствий</w:t>
            </w:r>
          </w:p>
        </w:tc>
      </w:tr>
      <w:tr w:rsidR="00CD6CF7" w:rsidRPr="00B267FD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29" w:name="P216"/>
            <w:bookmarkEnd w:id="29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13.1. Риски решения проблемы предложенным способом и риски негативных последствий:</w:t>
            </w:r>
          </w:p>
        </w:tc>
        <w:tc>
          <w:tcPr>
            <w:tcW w:w="2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30" w:name="P217"/>
            <w:bookmarkEnd w:id="30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13.2. Оценки вероятности наступления рисков:</w:t>
            </w:r>
          </w:p>
        </w:tc>
        <w:tc>
          <w:tcPr>
            <w:tcW w:w="28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13.3. Методы контроля эффективности избранного способа достижения целей регулирования: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13.4. Степень контроля рисков:</w:t>
            </w:r>
          </w:p>
        </w:tc>
      </w:tr>
      <w:tr w:rsidR="00CD6CF7" w:rsidRPr="00B267FD">
        <w:trPr>
          <w:trHeight w:val="483"/>
        </w:trPr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</w:pPr>
            <w:r w:rsidRPr="00B267FD"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  <w:t>Некорректное отнесение контролируемых лиц к той или иной категории риска</w:t>
            </w:r>
          </w:p>
        </w:tc>
        <w:tc>
          <w:tcPr>
            <w:tcW w:w="2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</w:pPr>
            <w:r w:rsidRPr="00B267FD"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  <w:t>Низкая</w:t>
            </w:r>
          </w:p>
        </w:tc>
        <w:tc>
          <w:tcPr>
            <w:tcW w:w="28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</w:pPr>
            <w:r w:rsidRPr="00B267FD"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  <w:t>Возможность инициативного порядка направления контролируемым лицом заявления об изменении присвоенной категории риска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</w:pPr>
            <w:r w:rsidRPr="00B267FD">
              <w:rPr>
                <w:rFonts w:ascii="Liberation Serif" w:eastAsia="Times New Roman" w:hAnsi="Liberation Serif" w:cs="Liberation Serif"/>
                <w:i/>
                <w:sz w:val="26"/>
                <w:szCs w:val="28"/>
                <w:lang w:eastAsia="ru-RU"/>
              </w:rPr>
              <w:t>Высокая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14.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Необходимые для достижения заявленных целей регулирования организационно - технические, методологические, информационные и иные мероприятия</w:t>
            </w:r>
          </w:p>
        </w:tc>
      </w:tr>
      <w:tr w:rsidR="00CD6CF7" w:rsidRPr="00B267FD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14.1. Мероприятия, необходимые для достижения целей регулирования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14.2. Сроки</w:t>
            </w:r>
          </w:p>
        </w:tc>
        <w:tc>
          <w:tcPr>
            <w:tcW w:w="1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14.3. Описание ожидаемого результата</w:t>
            </w:r>
          </w:p>
        </w:tc>
        <w:tc>
          <w:tcPr>
            <w:tcW w:w="2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14.4. Объем финансирования</w:t>
            </w:r>
          </w:p>
        </w:tc>
        <w:tc>
          <w:tcPr>
            <w:tcW w:w="22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14.5. Источник финансирования</w:t>
            </w:r>
          </w:p>
        </w:tc>
      </w:tr>
      <w:tr w:rsidR="00CD6CF7" w:rsidRPr="00B267FD"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</w:pPr>
            <w:r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>1. Информирование контролируемых лиц по вопросам соблюдения обязательных требований;</w:t>
            </w:r>
          </w:p>
          <w:p w:rsidR="00CD6CF7" w:rsidRPr="00B267FD" w:rsidRDefault="00367D0B">
            <w:pPr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</w:pPr>
            <w:r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 xml:space="preserve">2. Распределение </w:t>
            </w:r>
          </w:p>
          <w:p w:rsidR="00CD6CF7" w:rsidRPr="00B267FD" w:rsidRDefault="00367D0B">
            <w:pPr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</w:pPr>
            <w:r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>объектов муниципального контроля по категориям риска причинения вреда (ущерба) охраняемым законом ценностям;</w:t>
            </w:r>
          </w:p>
          <w:p w:rsidR="00CD6CF7" w:rsidRPr="00B267FD" w:rsidRDefault="00367D0B">
            <w:pPr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</w:pPr>
            <w:r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 xml:space="preserve">3. Проведение мероприятий по профилактике нарушений </w:t>
            </w:r>
            <w:r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lastRenderedPageBreak/>
              <w:t>обязательных требований;</w:t>
            </w:r>
          </w:p>
          <w:p w:rsidR="00CD6CF7" w:rsidRPr="00B267FD" w:rsidRDefault="00367D0B">
            <w:pPr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</w:pPr>
            <w:r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>4. Проведение оценки результативности и эффективности муниципального контроля (при наличии утвержденных показателей результативности и эффективности);</w:t>
            </w:r>
          </w:p>
          <w:p w:rsidR="00CD6CF7" w:rsidRPr="00B267FD" w:rsidRDefault="00367D0B">
            <w:pPr>
              <w:rPr>
                <w:sz w:val="24"/>
              </w:rPr>
            </w:pPr>
            <w:r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 xml:space="preserve">5. Межведомственное взаимодействие при осуществлении </w:t>
            </w:r>
            <w:r w:rsidR="00B267FD"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>муниципального контроля</w:t>
            </w:r>
            <w:r w:rsidRPr="00B267FD">
              <w:rPr>
                <w:sz w:val="24"/>
                <w:shd w:val="clear" w:color="auto" w:fill="FFFF00"/>
                <w:lang w:eastAsia="en-US"/>
              </w:rPr>
              <w:t xml:space="preserve"> </w:t>
            </w:r>
          </w:p>
        </w:tc>
        <w:tc>
          <w:tcPr>
            <w:tcW w:w="1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lastRenderedPageBreak/>
              <w:t>До 1 октября 2021 года, далее - постоянно</w:t>
            </w:r>
          </w:p>
        </w:tc>
        <w:tc>
          <w:tcPr>
            <w:tcW w:w="1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Проведение видов контрольно-надзорных мероприятий, определенных положением о виде муниципального ко</w:t>
            </w:r>
            <w:r w:rsid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н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 xml:space="preserve">троля, в соответствии с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lastRenderedPageBreak/>
              <w:t xml:space="preserve">требованиями, установленными Федеральным законом от 31 июля 2020 года </w:t>
            </w:r>
          </w:p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№ 248-ФЗ</w:t>
            </w:r>
          </w:p>
        </w:tc>
        <w:tc>
          <w:tcPr>
            <w:tcW w:w="2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lastRenderedPageBreak/>
              <w:t>-</w:t>
            </w:r>
          </w:p>
        </w:tc>
        <w:tc>
          <w:tcPr>
            <w:tcW w:w="22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-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lastRenderedPageBreak/>
              <w:t>15.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Предполагаемая дата вступления в силу проекта акта, оценка необходимости установления переходного периода и (или) отсрочки вступления в силу проекта акта либо необходимость распространения предлагаемого регулирования на ранее возникшие отношения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15.1. Предполагаемая дата вступления в силу проекта акта: </w:t>
            </w: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1 января 2022 года</w:t>
            </w:r>
          </w:p>
        </w:tc>
      </w:tr>
      <w:tr w:rsidR="00CD6CF7" w:rsidRPr="00B267FD">
        <w:tc>
          <w:tcPr>
            <w:tcW w:w="52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15.2. Необходимость установления переходного периода и (или) отсрочки введения предлагаемого регулирования:</w:t>
            </w:r>
          </w:p>
        </w:tc>
        <w:tc>
          <w:tcPr>
            <w:tcW w:w="48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  <w:u w:val="single"/>
              </w:rPr>
              <w:t>Нет</w:t>
            </w: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/Да (с указанием срока в днях</w:t>
            </w: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br/>
              <w:t>с момента принятия проекта нормативного правового акта)</w:t>
            </w:r>
          </w:p>
        </w:tc>
      </w:tr>
      <w:tr w:rsidR="00CD6CF7" w:rsidRPr="00B267FD">
        <w:tc>
          <w:tcPr>
            <w:tcW w:w="52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15.3. Необходимость распространения предлагаемого регулирования на ранее возникшие отношения:</w:t>
            </w:r>
          </w:p>
        </w:tc>
        <w:tc>
          <w:tcPr>
            <w:tcW w:w="48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sz w:val="1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  <w:u w:val="single"/>
              </w:rPr>
              <w:t>Нет</w:t>
            </w: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/Да (с указанием срока в днях</w:t>
            </w: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br/>
              <w:t>с момента принятия проекта нормативного правового акта)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15.4. Обоснование необходимости установления переходного периода и (или) отсрочки вступления в силу проекта акта либо необходимости распространения предлагаемого регулирования на ранее возникшие отношения: </w:t>
            </w:r>
          </w:p>
        </w:tc>
      </w:tr>
      <w:tr w:rsidR="00CD6CF7" w:rsidRPr="00B267FD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8"/>
              </w:rPr>
            </w:pPr>
            <w:bookmarkStart w:id="31" w:name="P249"/>
            <w:bookmarkStart w:id="32" w:name="P260"/>
            <w:bookmarkEnd w:id="31"/>
            <w:bookmarkEnd w:id="32"/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>16.</w:t>
            </w:r>
          </w:p>
        </w:tc>
        <w:tc>
          <w:tcPr>
            <w:tcW w:w="94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rPr>
                <w:rFonts w:ascii="Liberation Serif" w:hAnsi="Liberation Serif" w:cs="Liberation Serif"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sz w:val="26"/>
                <w:szCs w:val="28"/>
              </w:rPr>
              <w:t xml:space="preserve">Индикативные показатели, программы мониторинга достижения цели регулирования, иные способы (методы) оценки достижения заявленных целей регулирования </w:t>
            </w:r>
          </w:p>
        </w:tc>
      </w:tr>
      <w:tr w:rsidR="00CD6CF7" w:rsidRPr="00B267FD"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hAnsi="Liberation Serif"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sz w:val="26"/>
                <w:lang w:eastAsia="en-US"/>
              </w:rPr>
              <w:t>16.1. Цели предлагаемого регулирования</w:t>
            </w:r>
          </w:p>
        </w:tc>
        <w:tc>
          <w:tcPr>
            <w:tcW w:w="2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hAnsi="Liberation Serif"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sz w:val="26"/>
                <w:lang w:eastAsia="en-US"/>
              </w:rPr>
              <w:t>16.2. Индикативные показатели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hAnsi="Liberation Serif"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sz w:val="26"/>
                <w:lang w:eastAsia="en-US"/>
              </w:rPr>
              <w:t>16.3. Единицы измерения индикативных показателей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hAnsi="Liberation Serif"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sz w:val="26"/>
                <w:lang w:eastAsia="en-US"/>
              </w:rPr>
              <w:t>16.4. Целевые значения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hAnsi="Liberation Serif"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sz w:val="26"/>
                <w:lang w:eastAsia="en-US"/>
              </w:rPr>
              <w:t>16.5. Способы расчета индикативных показателей</w:t>
            </w:r>
          </w:p>
        </w:tc>
      </w:tr>
      <w:tr w:rsidR="00CD6CF7" w:rsidRPr="00B267FD"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 xml:space="preserve">Недопущение причинения вреда (ущерба) 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lastRenderedPageBreak/>
              <w:t>охраняемым законом ценностям, вызванного нарушениями обязательных требований</w:t>
            </w:r>
          </w:p>
        </w:tc>
        <w:tc>
          <w:tcPr>
            <w:tcW w:w="24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lastRenderedPageBreak/>
              <w:t xml:space="preserve">1) Количество обращений граждан и организаций о 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lastRenderedPageBreak/>
              <w:t>нарушении обязательных требований, поступивших в контрольный орган</w:t>
            </w:r>
            <w:r w:rsidR="00B267FD">
              <w:rPr>
                <w:rFonts w:ascii="Liberation Serif" w:hAnsi="Liberation Serif"/>
                <w:i/>
                <w:sz w:val="26"/>
                <w:lang w:eastAsia="en-US"/>
              </w:rPr>
              <w:t xml:space="preserve"> Малышевского городского округа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;</w:t>
            </w: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 xml:space="preserve">2) Количество проведенных контрольным органом внеплановых контрольных мероприятий в </w:t>
            </w:r>
            <w:r w:rsidR="00B267FD">
              <w:rPr>
                <w:rFonts w:ascii="Liberation Serif" w:hAnsi="Liberation Serif"/>
                <w:i/>
                <w:sz w:val="26"/>
                <w:lang w:eastAsia="en-US"/>
              </w:rPr>
              <w:t>Малышевском городском округе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;</w:t>
            </w: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 xml:space="preserve">3) Количество принятых органами прокуратуры решений о согласовании проведения контрольным органом внепланового контрольного мероприятия в </w:t>
            </w:r>
            <w:r w:rsidR="00B267FD">
              <w:rPr>
                <w:rFonts w:ascii="Liberation Serif" w:hAnsi="Liberation Serif"/>
                <w:i/>
                <w:sz w:val="26"/>
                <w:lang w:eastAsia="en-US"/>
              </w:rPr>
              <w:t>Малышевском городском округе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;</w:t>
            </w: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 xml:space="preserve">4) Количество выявленных контрольным органом нарушений обязательных требований в </w:t>
            </w:r>
            <w:r w:rsidR="00B267FD">
              <w:rPr>
                <w:rFonts w:ascii="Liberation Serif" w:hAnsi="Liberation Serif"/>
                <w:i/>
                <w:sz w:val="26"/>
                <w:lang w:eastAsia="en-US"/>
              </w:rPr>
              <w:t>Малышевском городском округе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;</w:t>
            </w: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 xml:space="preserve">5) Количество устраненных нарушений обязательных требований в </w:t>
            </w:r>
            <w:r w:rsidR="00B267FD">
              <w:rPr>
                <w:rFonts w:ascii="Liberation Serif" w:hAnsi="Liberation Serif"/>
                <w:i/>
                <w:sz w:val="26"/>
                <w:lang w:eastAsia="en-US"/>
              </w:rPr>
              <w:t>Малышевском городском округе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;</w:t>
            </w: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 xml:space="preserve">6) Количество поступивших возражений в отношении акта 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lastRenderedPageBreak/>
              <w:t xml:space="preserve">контрольного мероприятия в </w:t>
            </w:r>
            <w:r w:rsidR="00B267FD">
              <w:rPr>
                <w:rFonts w:ascii="Liberation Serif" w:hAnsi="Liberation Serif"/>
                <w:i/>
                <w:sz w:val="26"/>
                <w:lang w:eastAsia="en-US"/>
              </w:rPr>
              <w:t>Малышевском городском округе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;</w:t>
            </w: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 xml:space="preserve">7) Количество выданных контрольным органом предписаний об устранении нарушений обязательных требований в </w:t>
            </w:r>
            <w:r w:rsidR="00B267FD">
              <w:rPr>
                <w:rFonts w:ascii="Liberation Serif" w:hAnsi="Liberation Serif"/>
                <w:i/>
                <w:sz w:val="26"/>
                <w:lang w:eastAsia="en-US"/>
              </w:rPr>
              <w:t>Малышевском городском округе</w:t>
            </w: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lastRenderedPageBreak/>
              <w:t>Обращений в год (шт)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Контрольных мероприятий в год (шт)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Решений в год (шт)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Нарушений в год (шт)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Нарушений в год (шт)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Возражений в год (шт)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Предписаний в год (шт)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B267FD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  <w:r>
              <w:rPr>
                <w:rFonts w:ascii="Liberation Serif" w:hAnsi="Liberation Serif"/>
                <w:i/>
                <w:sz w:val="26"/>
                <w:lang w:eastAsia="en-US"/>
              </w:rPr>
              <w:lastRenderedPageBreak/>
              <w:t>___</w:t>
            </w: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 w:rsidP="00B267FD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B267FD" w:rsidRPr="00B267FD" w:rsidRDefault="00B267FD" w:rsidP="00B267FD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  <w:r>
              <w:rPr>
                <w:rFonts w:ascii="Liberation Serif" w:hAnsi="Liberation Serif"/>
                <w:i/>
                <w:sz w:val="26"/>
                <w:lang w:eastAsia="en-US"/>
              </w:rPr>
              <w:t>___</w:t>
            </w: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B267FD" w:rsidRDefault="00B267FD" w:rsidP="00B267FD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B267FD" w:rsidRDefault="00B267FD" w:rsidP="00B267FD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B267FD" w:rsidRPr="00B267FD" w:rsidRDefault="00B267FD" w:rsidP="00B267FD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  <w:r>
              <w:rPr>
                <w:rFonts w:ascii="Liberation Serif" w:hAnsi="Liberation Serif"/>
                <w:i/>
                <w:sz w:val="26"/>
                <w:lang w:eastAsia="en-US"/>
              </w:rPr>
              <w:t>___</w:t>
            </w: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B267FD" w:rsidRPr="00B267FD" w:rsidRDefault="00B267FD" w:rsidP="00B267FD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  <w:r>
              <w:rPr>
                <w:rFonts w:ascii="Liberation Serif" w:hAnsi="Liberation Serif"/>
                <w:i/>
                <w:sz w:val="26"/>
                <w:lang w:eastAsia="en-US"/>
              </w:rPr>
              <w:t>___</w:t>
            </w: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 w:rsidP="00B267FD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B267FD" w:rsidRPr="00B267FD" w:rsidRDefault="00B267FD" w:rsidP="00B267FD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  <w:r>
              <w:rPr>
                <w:rFonts w:ascii="Liberation Serif" w:hAnsi="Liberation Serif"/>
                <w:i/>
                <w:sz w:val="26"/>
                <w:lang w:eastAsia="en-US"/>
              </w:rPr>
              <w:t>___</w:t>
            </w: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B267FD" w:rsidRPr="00B267FD" w:rsidRDefault="00B267FD" w:rsidP="00B267FD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  <w:r>
              <w:rPr>
                <w:rFonts w:ascii="Liberation Serif" w:hAnsi="Liberation Serif"/>
                <w:i/>
                <w:sz w:val="26"/>
                <w:lang w:eastAsia="en-US"/>
              </w:rPr>
              <w:t>___</w:t>
            </w: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B267FD" w:rsidRPr="00B267FD" w:rsidRDefault="00B267FD" w:rsidP="00B267FD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  <w:r>
              <w:rPr>
                <w:rFonts w:ascii="Liberation Serif" w:hAnsi="Liberation Serif"/>
                <w:i/>
                <w:sz w:val="26"/>
                <w:lang w:eastAsia="en-US"/>
              </w:rPr>
              <w:t>___</w:t>
            </w: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jc w:val="center"/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lastRenderedPageBreak/>
              <w:t>Согласно отчета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Согласно отчета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Согласно отчета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Согласно отчета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Согласно отчета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Согласно отчета</w:t>
            </w: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CD6CF7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</w:p>
          <w:p w:rsidR="00CD6CF7" w:rsidRPr="00B267FD" w:rsidRDefault="00367D0B">
            <w:pPr>
              <w:rPr>
                <w:rFonts w:ascii="Liberation Serif" w:hAnsi="Liberation Serif"/>
                <w:i/>
                <w:sz w:val="26"/>
                <w:lang w:eastAsia="en-US"/>
              </w:rPr>
            </w:pPr>
            <w:r w:rsidRPr="00B267FD">
              <w:rPr>
                <w:rFonts w:ascii="Liberation Serif" w:hAnsi="Liberation Serif"/>
                <w:i/>
                <w:sz w:val="26"/>
                <w:lang w:eastAsia="en-US"/>
              </w:rPr>
              <w:t>Согласно отчета</w:t>
            </w:r>
          </w:p>
        </w:tc>
      </w:tr>
      <w:tr w:rsidR="00CD6CF7" w:rsidRPr="00B267FD">
        <w:tc>
          <w:tcPr>
            <w:tcW w:w="100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6CF7" w:rsidRPr="00B267FD" w:rsidRDefault="00367D0B">
            <w:pPr>
              <w:pStyle w:val="ConsPlusNormal"/>
              <w:spacing w:line="216" w:lineRule="auto"/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lastRenderedPageBreak/>
              <w:t xml:space="preserve">17. Оценка позитивных и негативных эффектов для общества при введении предлагаемого регулирования: </w:t>
            </w:r>
          </w:p>
          <w:p w:rsidR="00CD6CF7" w:rsidRPr="00B267FD" w:rsidRDefault="00367D0B">
            <w:pPr>
              <w:overflowPunct/>
              <w:autoSpaceDE/>
              <w:spacing w:line="216" w:lineRule="auto"/>
              <w:jc w:val="both"/>
              <w:textAlignment w:val="auto"/>
              <w:rPr>
                <w:sz w:val="24"/>
              </w:rPr>
            </w:pPr>
            <w:r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 xml:space="preserve">Приведение в соответствие с Федеральным законом от 31 июля 2020 года № 248-ФЗ «О государственном контроле (надзоре) и муниципальном контроле в Российской Федерации» позволит оптимизировать осуществление </w:t>
            </w:r>
            <w:r w:rsidR="00111BF5"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 xml:space="preserve">муниципального контроля на автомобильном транспорте, городском наземном электрическом транспорте и в дорожном хозяйстве на территории </w:t>
            </w:r>
            <w:r w:rsid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 xml:space="preserve">Малышевского </w:t>
            </w:r>
            <w:r w:rsidR="00111BF5" w:rsidRP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>городского округа</w:t>
            </w:r>
            <w:r w:rsidR="00B267FD">
              <w:rPr>
                <w:rFonts w:ascii="Liberation Serif" w:eastAsia="Calibri" w:hAnsi="Liberation Serif" w:cs="Liberation Serif"/>
                <w:i/>
                <w:sz w:val="26"/>
                <w:szCs w:val="28"/>
                <w:lang w:eastAsia="en-US"/>
              </w:rPr>
              <w:t>.</w:t>
            </w:r>
          </w:p>
          <w:p w:rsidR="00CD6CF7" w:rsidRPr="00B267FD" w:rsidRDefault="00367D0B">
            <w:pPr>
              <w:pStyle w:val="ConsPlusNormal"/>
              <w:spacing w:line="216" w:lineRule="auto"/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Применение риск-ориентированного подхода обеспечит оптимальное использование трудовых и материальных ресурсов органов муниципального контроля путем сосредоточения усилий на потенциально наиболее опасных объектах, что будет способствовать снижению административной нагрузки на подконтрольные субъекты и улучшению состояния подконтрольной сферы.</w:t>
            </w:r>
          </w:p>
          <w:p w:rsidR="00CD6CF7" w:rsidRPr="00B267FD" w:rsidRDefault="00367D0B">
            <w:pPr>
              <w:pStyle w:val="ConsPlusNormal"/>
              <w:spacing w:line="216" w:lineRule="auto"/>
              <w:jc w:val="both"/>
              <w:rPr>
                <w:rFonts w:ascii="Liberation Serif" w:hAnsi="Liberation Serif" w:cs="Liberation Serif"/>
                <w:i/>
                <w:sz w:val="26"/>
                <w:szCs w:val="28"/>
              </w:rPr>
            </w:pPr>
            <w:r w:rsidRPr="00B267FD">
              <w:rPr>
                <w:rFonts w:ascii="Liberation Serif" w:hAnsi="Liberation Serif" w:cs="Liberation Serif"/>
                <w:i/>
                <w:sz w:val="26"/>
                <w:szCs w:val="28"/>
              </w:rPr>
              <w:t>Проведение профилактических мероприятий позволит предупреждать нарушения, не допуская проявления их последствий и в результате будет способствовать снижению риска причинения вреда охраняемым законом ценностям, вызванного нарушениями обязательных требований.</w:t>
            </w:r>
          </w:p>
        </w:tc>
      </w:tr>
    </w:tbl>
    <w:p w:rsidR="00CD6CF7" w:rsidRPr="00B267FD" w:rsidRDefault="00CD6CF7">
      <w:pPr>
        <w:pStyle w:val="ConsPlusNormal"/>
        <w:rPr>
          <w:rFonts w:ascii="Liberation Serif" w:hAnsi="Liberation Serif" w:cs="Liberation Serif"/>
          <w:sz w:val="26"/>
          <w:szCs w:val="28"/>
        </w:rPr>
      </w:pPr>
      <w:bookmarkStart w:id="33" w:name="P405"/>
      <w:bookmarkEnd w:id="33"/>
    </w:p>
    <w:p w:rsidR="00B267FD" w:rsidRPr="00F04B83" w:rsidRDefault="00B267FD" w:rsidP="00B267FD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8"/>
        </w:rPr>
      </w:pPr>
      <w:r w:rsidRPr="00F04B83">
        <w:rPr>
          <w:rFonts w:ascii="Liberation Serif" w:hAnsi="Liberation Serif" w:cs="Liberation Serif"/>
          <w:sz w:val="26"/>
          <w:szCs w:val="28"/>
        </w:rPr>
        <w:t>Начальник 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</w:p>
    <w:p w:rsidR="00B267FD" w:rsidRPr="00F04B83" w:rsidRDefault="00B267FD" w:rsidP="00B267FD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8"/>
        </w:rPr>
      </w:pPr>
    </w:p>
    <w:p w:rsidR="00B267FD" w:rsidRDefault="00B267FD" w:rsidP="00B267FD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  <w:r w:rsidRPr="00F04B83">
        <w:rPr>
          <w:rFonts w:ascii="Liberation Serif" w:hAnsi="Liberation Serif" w:cs="Liberation Serif"/>
          <w:sz w:val="26"/>
          <w:szCs w:val="28"/>
        </w:rPr>
        <w:t xml:space="preserve">Попкова О.А.                                 </w:t>
      </w:r>
      <w:r>
        <w:rPr>
          <w:rFonts w:ascii="Liberation Serif" w:hAnsi="Liberation Serif" w:cs="Liberation Serif"/>
          <w:sz w:val="26"/>
          <w:szCs w:val="28"/>
        </w:rPr>
        <w:t xml:space="preserve">    </w:t>
      </w:r>
      <w:r w:rsidRPr="00F04B83">
        <w:rPr>
          <w:rFonts w:ascii="Liberation Serif" w:hAnsi="Liberation Serif" w:cs="Liberation Serif"/>
          <w:sz w:val="26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_________________                _____________</w:t>
      </w:r>
    </w:p>
    <w:p w:rsidR="00B267FD" w:rsidRPr="001960FB" w:rsidRDefault="00B267FD" w:rsidP="00B267FD">
      <w:pPr>
        <w:pStyle w:val="ConsPlusNormal"/>
        <w:tabs>
          <w:tab w:val="left" w:pos="5280"/>
          <w:tab w:val="left" w:pos="6990"/>
        </w:tabs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  <w:r w:rsidRPr="001960FB">
        <w:rPr>
          <w:rFonts w:ascii="Liberation Serif" w:hAnsi="Liberation Serif" w:cs="Liberation Serif"/>
          <w:szCs w:val="28"/>
        </w:rPr>
        <w:t xml:space="preserve">Дата </w:t>
      </w:r>
      <w:r w:rsidRPr="001960FB">
        <w:rPr>
          <w:rFonts w:ascii="Liberation Serif" w:hAnsi="Liberation Serif" w:cs="Liberation Serif"/>
          <w:szCs w:val="28"/>
        </w:rPr>
        <w:tab/>
        <w:t xml:space="preserve">       </w:t>
      </w:r>
      <w:r>
        <w:rPr>
          <w:rFonts w:ascii="Liberation Serif" w:hAnsi="Liberation Serif" w:cs="Liberation Serif"/>
          <w:szCs w:val="28"/>
        </w:rPr>
        <w:t xml:space="preserve">              </w:t>
      </w:r>
      <w:r w:rsidRPr="001960FB">
        <w:rPr>
          <w:rFonts w:ascii="Liberation Serif" w:hAnsi="Liberation Serif" w:cs="Liberation Serif"/>
          <w:szCs w:val="28"/>
        </w:rPr>
        <w:t xml:space="preserve">Подпись </w:t>
      </w:r>
    </w:p>
    <w:p w:rsidR="00111BF5" w:rsidRPr="00B267FD" w:rsidRDefault="00111BF5" w:rsidP="00B267FD">
      <w:pPr>
        <w:pStyle w:val="ConsPlusNormal"/>
        <w:rPr>
          <w:rFonts w:ascii="Liberation Serif" w:hAnsi="Liberation Serif" w:cs="Liberation Serif"/>
          <w:b/>
          <w:sz w:val="26"/>
          <w:szCs w:val="28"/>
        </w:rPr>
      </w:pPr>
    </w:p>
    <w:sectPr w:rsidR="00111BF5" w:rsidRPr="00B267FD" w:rsidSect="00B267FD">
      <w:headerReference w:type="default" r:id="rId8"/>
      <w:pgSz w:w="11906" w:h="16838"/>
      <w:pgMar w:top="851" w:right="851" w:bottom="85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C82" w:rsidRDefault="00994C82">
      <w:r>
        <w:separator/>
      </w:r>
    </w:p>
  </w:endnote>
  <w:endnote w:type="continuationSeparator" w:id="0">
    <w:p w:rsidR="00994C82" w:rsidRDefault="00994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C82" w:rsidRDefault="00994C82">
      <w:r>
        <w:rPr>
          <w:color w:val="000000"/>
        </w:rPr>
        <w:separator/>
      </w:r>
    </w:p>
  </w:footnote>
  <w:footnote w:type="continuationSeparator" w:id="0">
    <w:p w:rsidR="00994C82" w:rsidRDefault="00994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689" w:rsidRDefault="00367D0B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 w:rsidR="0027194D">
      <w:rPr>
        <w:noProof/>
      </w:rPr>
      <w:t>9</w:t>
    </w:r>
    <w:r>
      <w:fldChar w:fldCharType="end"/>
    </w:r>
  </w:p>
  <w:p w:rsidR="00FD5689" w:rsidRDefault="00994C8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CF7"/>
    <w:rsid w:val="00111BF5"/>
    <w:rsid w:val="0018622A"/>
    <w:rsid w:val="0027194D"/>
    <w:rsid w:val="00287356"/>
    <w:rsid w:val="00367D0B"/>
    <w:rsid w:val="00994C82"/>
    <w:rsid w:val="00B267FD"/>
    <w:rsid w:val="00C2339B"/>
    <w:rsid w:val="00C551B1"/>
    <w:rsid w:val="00CC345E"/>
    <w:rsid w:val="00CD6CF7"/>
    <w:rsid w:val="00DE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B59CDC-D598-4E27-8102-331B2C9E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pPr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</w:pPr>
    <w:rPr>
      <w:rFonts w:eastAsia="Times New Roman" w:cs="Calibri"/>
      <w:b/>
      <w:szCs w:val="20"/>
      <w:lang w:eastAsia="ru-RU"/>
    </w:rPr>
  </w:style>
  <w:style w:type="character" w:styleId="a3">
    <w:name w:val="Hyperlink"/>
    <w:basedOn w:val="a0"/>
    <w:rPr>
      <w:color w:val="0563C1"/>
      <w:u w:val="single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pPr>
      <w:overflowPunct/>
      <w:autoSpaceDE/>
      <w:spacing w:after="160" w:line="242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rPr>
      <w:rFonts w:ascii="Consolas" w:hAnsi="Consolas" w:cs="Consolas"/>
      <w:sz w:val="20"/>
    </w:rPr>
  </w:style>
  <w:style w:type="character" w:customStyle="1" w:styleId="HTML0">
    <w:name w:val="Стандартный HTML Знак"/>
    <w:basedOn w:val="a0"/>
    <w:rPr>
      <w:rFonts w:ascii="Consolas" w:eastAsia="Times New Roman" w:hAnsi="Consolas" w:cs="Consolas"/>
      <w:sz w:val="20"/>
      <w:szCs w:val="20"/>
      <w:lang w:eastAsia="ru-RU"/>
    </w:rPr>
  </w:style>
  <w:style w:type="paragraph" w:styleId="a9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</w:rPr>
  </w:style>
  <w:style w:type="character" w:customStyle="1" w:styleId="ad">
    <w:name w:val="Текст примечания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">
    <w:name w:val="Обычный1"/>
    <w:rsid w:val="00B267FD"/>
    <w:pPr>
      <w:suppressAutoHyphens/>
      <w:spacing w:line="251" w:lineRule="auto"/>
    </w:pPr>
  </w:style>
  <w:style w:type="character" w:customStyle="1" w:styleId="10">
    <w:name w:val="Основной шрифт абзаца1"/>
    <w:rsid w:val="00B26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regulation.midural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tdel-gkx2016@yandex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2453</Words>
  <Characters>13988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Антонова Александра Арленовна</dc:creator>
  <dc:description/>
  <cp:lastModifiedBy>Лидия А. Холопова</cp:lastModifiedBy>
  <cp:revision>8</cp:revision>
  <cp:lastPrinted>2021-08-02T10:56:00Z</cp:lastPrinted>
  <dcterms:created xsi:type="dcterms:W3CDTF">2021-07-20T11:09:00Z</dcterms:created>
  <dcterms:modified xsi:type="dcterms:W3CDTF">2021-08-02T10:56:00Z</dcterms:modified>
</cp:coreProperties>
</file>